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0B905E">
      <w:pPr>
        <w:jc w:val="center"/>
        <w:rPr>
          <w:rFonts w:ascii="微软雅黑" w:hAnsi="微软雅黑" w:eastAsia="微软雅黑" w:cs="宋体"/>
          <w:b/>
          <w:bCs/>
          <w:color w:val="000000"/>
          <w:kern w:val="0"/>
          <w:sz w:val="36"/>
          <w:szCs w:val="36"/>
          <w:shd w:val="clear" w:color="auto" w:fill="FFFFFF"/>
          <w:lang w:bidi="ar"/>
        </w:rPr>
      </w:pPr>
      <w:r>
        <w:rPr>
          <w:rFonts w:hint="eastAsia" w:ascii="微软雅黑" w:hAnsi="微软雅黑" w:eastAsia="微软雅黑" w:cs="Helvetica"/>
          <w:b/>
          <w:bCs/>
          <w:color w:val="000000"/>
          <w:kern w:val="0"/>
          <w:sz w:val="36"/>
          <w:szCs w:val="36"/>
          <w:shd w:val="clear" w:color="auto" w:fill="FFFFFF"/>
          <w:lang w:bidi="ar"/>
        </w:rPr>
        <w:t>主干业务网络设备</w:t>
      </w:r>
      <w:r>
        <w:rPr>
          <w:rFonts w:hint="eastAsia" w:ascii="微软雅黑" w:hAnsi="微软雅黑" w:eastAsia="微软雅黑" w:cs="Helvetica"/>
          <w:b/>
          <w:bCs/>
          <w:color w:val="000000"/>
          <w:kern w:val="0"/>
          <w:sz w:val="36"/>
          <w:szCs w:val="36"/>
          <w:shd w:val="clear" w:color="auto" w:fill="FFFFFF"/>
          <w:lang w:eastAsia="zh-CN" w:bidi="ar"/>
        </w:rPr>
        <w:t>（</w:t>
      </w:r>
      <w:r>
        <w:rPr>
          <w:rFonts w:hint="eastAsia" w:ascii="微软雅黑" w:hAnsi="微软雅黑" w:eastAsia="微软雅黑" w:cs="Helvetica"/>
          <w:b/>
          <w:bCs/>
          <w:color w:val="000000"/>
          <w:kern w:val="0"/>
          <w:sz w:val="36"/>
          <w:szCs w:val="36"/>
          <w:shd w:val="clear" w:color="auto" w:fill="FFFFFF"/>
          <w:lang w:val="en-US" w:eastAsia="zh-CN" w:bidi="ar"/>
        </w:rPr>
        <w:t>不含9号楼</w:t>
      </w:r>
      <w:r>
        <w:rPr>
          <w:rFonts w:hint="eastAsia" w:ascii="微软雅黑" w:hAnsi="微软雅黑" w:eastAsia="微软雅黑" w:cs="Helvetica"/>
          <w:b/>
          <w:bCs/>
          <w:color w:val="000000"/>
          <w:kern w:val="0"/>
          <w:sz w:val="36"/>
          <w:szCs w:val="36"/>
          <w:shd w:val="clear" w:color="auto" w:fill="FFFFFF"/>
          <w:lang w:eastAsia="zh-CN" w:bidi="ar"/>
        </w:rPr>
        <w:t>）</w:t>
      </w:r>
      <w:r>
        <w:rPr>
          <w:rFonts w:hint="eastAsia" w:ascii="微软雅黑" w:hAnsi="微软雅黑" w:eastAsia="微软雅黑" w:cs="Helvetica"/>
          <w:b/>
          <w:bCs/>
          <w:color w:val="000000"/>
          <w:kern w:val="0"/>
          <w:sz w:val="36"/>
          <w:szCs w:val="36"/>
          <w:shd w:val="clear" w:color="auto" w:fill="FFFFFF"/>
          <w:lang w:bidi="ar"/>
        </w:rPr>
        <w:t>维保与运维服务</w:t>
      </w:r>
      <w:r>
        <w:rPr>
          <w:rFonts w:hint="eastAsia" w:ascii="微软雅黑" w:hAnsi="微软雅黑" w:eastAsia="微软雅黑" w:cs="宋体"/>
          <w:b/>
          <w:bCs/>
          <w:color w:val="000000"/>
          <w:kern w:val="0"/>
          <w:sz w:val="36"/>
          <w:szCs w:val="36"/>
          <w:shd w:val="clear" w:color="auto" w:fill="FFFFFF"/>
          <w:lang w:bidi="ar"/>
        </w:rPr>
        <w:t>采购项目</w:t>
      </w:r>
    </w:p>
    <w:p w14:paraId="6D876167">
      <w:pPr>
        <w:jc w:val="center"/>
        <w:rPr>
          <w:rFonts w:ascii="微软雅黑" w:hAnsi="微软雅黑" w:eastAsia="微软雅黑" w:cs="宋体"/>
          <w:b/>
          <w:bCs/>
          <w:color w:val="000000"/>
          <w:kern w:val="0"/>
          <w:sz w:val="36"/>
          <w:szCs w:val="36"/>
          <w:shd w:val="clear" w:color="auto" w:fill="FFFFFF"/>
          <w:lang w:bidi="ar"/>
        </w:rPr>
      </w:pPr>
    </w:p>
    <w:p w14:paraId="494B101C">
      <w:pPr>
        <w:spacing w:line="360" w:lineRule="auto"/>
        <w:ind w:firstLine="720" w:firstLineChars="200"/>
        <w:rPr>
          <w:rFonts w:ascii="微软雅黑" w:hAnsi="微软雅黑" w:eastAsia="微软雅黑" w:cs="宋体"/>
          <w:b/>
          <w:bCs/>
          <w:color w:val="000000"/>
          <w:kern w:val="0"/>
          <w:sz w:val="36"/>
          <w:szCs w:val="36"/>
          <w:shd w:val="clear" w:color="auto" w:fill="FFFFFF"/>
          <w:lang w:bidi="ar"/>
        </w:rPr>
      </w:pPr>
      <w:r>
        <w:rPr>
          <w:rFonts w:hint="eastAsia" w:ascii="微软雅黑" w:hAnsi="微软雅黑" w:eastAsia="微软雅黑" w:cs="宋体"/>
          <w:b/>
          <w:bCs/>
          <w:color w:val="000000"/>
          <w:kern w:val="0"/>
          <w:sz w:val="36"/>
          <w:szCs w:val="36"/>
          <w:shd w:val="clear" w:color="auto" w:fill="FFFFFF"/>
          <w:lang w:bidi="ar"/>
        </w:rPr>
        <w:t>第一章：服务需求</w:t>
      </w:r>
    </w:p>
    <w:p w14:paraId="0487F0D3">
      <w:pPr>
        <w:spacing w:line="360" w:lineRule="auto"/>
        <w:ind w:firstLine="723" w:firstLineChars="200"/>
        <w:rPr>
          <w:rFonts w:ascii="仿宋" w:hAnsi="仿宋" w:eastAsia="仿宋" w:cs="宋体"/>
          <w:b/>
          <w:bCs/>
          <w:color w:val="000000"/>
          <w:kern w:val="0"/>
          <w:sz w:val="36"/>
          <w:szCs w:val="36"/>
          <w:shd w:val="clear" w:color="auto" w:fill="FFFFFF"/>
          <w:lang w:bidi="ar"/>
        </w:rPr>
      </w:pPr>
      <w:r>
        <w:rPr>
          <w:rFonts w:hint="eastAsia" w:ascii="仿宋" w:hAnsi="仿宋" w:eastAsia="仿宋" w:cs="宋体"/>
          <w:b/>
          <w:bCs/>
          <w:color w:val="000000"/>
          <w:kern w:val="0"/>
          <w:sz w:val="36"/>
          <w:szCs w:val="36"/>
          <w:shd w:val="clear" w:color="auto" w:fill="FFFFFF"/>
          <w:lang w:bidi="ar"/>
        </w:rPr>
        <w:t>一、项目概况</w:t>
      </w:r>
    </w:p>
    <w:p w14:paraId="6E2E8EDD">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lang w:bidi="ar"/>
        </w:rPr>
        <w:t xml:space="preserve">本次维保运维服务采购，涉及蚌埠医科大学第一附属医院全院主干业务网络的主要数据通讯和安全类软硬件产品（不包含9号楼设备，下同），目的是保证网络稳定可靠，发生故障后能得到快速解决，确保网络稳定安全运行。 </w:t>
      </w:r>
    </w:p>
    <w:p w14:paraId="0B2BA7AE">
      <w:pPr>
        <w:spacing w:line="360" w:lineRule="auto"/>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主要内容包括：对全院主干业务网络数据通讯与安全设备提供原厂维保服务；对全院主干业务网络提供原厂</w:t>
      </w:r>
      <w:r>
        <w:rPr>
          <w:rFonts w:ascii="仿宋" w:hAnsi="仿宋" w:eastAsia="仿宋"/>
          <w:sz w:val="32"/>
          <w:szCs w:val="32"/>
        </w:rPr>
        <w:t>7×24</w:t>
      </w:r>
      <w:r>
        <w:rPr>
          <w:rFonts w:hint="eastAsia" w:ascii="仿宋" w:hAnsi="仿宋" w:eastAsia="仿宋" w:cs="仿宋"/>
          <w:color w:val="000000"/>
          <w:sz w:val="32"/>
          <w:szCs w:val="32"/>
          <w:lang w:bidi="ar"/>
        </w:rPr>
        <w:t>小时技术支持服务；故障情况的跟踪和记录；半年度服务报告等文件的收集、汇总和上报；协助完成技术支持和日常管理工作；按照要求完成相关设备的集中监控工作以及网络连接的应用系统上线、变更、迁移等技术支持工作。</w:t>
      </w:r>
    </w:p>
    <w:p w14:paraId="5B0527B9">
      <w:pPr>
        <w:spacing w:line="360" w:lineRule="auto"/>
        <w:ind w:firstLine="640" w:firstLineChars="200"/>
        <w:rPr>
          <w:rFonts w:hint="eastAsia" w:ascii="仿宋" w:hAnsi="仿宋" w:eastAsia="仿宋" w:cs="仿宋"/>
          <w:color w:val="000000"/>
          <w:sz w:val="32"/>
          <w:szCs w:val="32"/>
          <w:lang w:bidi="ar"/>
        </w:rPr>
      </w:pPr>
      <w:r>
        <w:rPr>
          <w:rFonts w:hint="eastAsia" w:ascii="仿宋" w:hAnsi="仿宋" w:eastAsia="仿宋" w:cs="仿宋"/>
          <w:color w:val="000000"/>
          <w:sz w:val="32"/>
          <w:szCs w:val="32"/>
          <w:lang w:val="en-US" w:eastAsia="zh-CN" w:bidi="ar"/>
        </w:rPr>
        <w:t>本次采购</w:t>
      </w:r>
      <w:r>
        <w:rPr>
          <w:rFonts w:hint="eastAsia" w:ascii="仿宋" w:hAnsi="仿宋" w:eastAsia="仿宋" w:cs="仿宋"/>
          <w:color w:val="000000"/>
          <w:sz w:val="32"/>
          <w:szCs w:val="32"/>
          <w:lang w:bidi="ar"/>
        </w:rPr>
        <w:t>涉及2018年网络改造设备采购项目和2021年信息化安全及网络加固项目两个项目的维保运维服务，总采购金额1442.8万元。</w:t>
      </w:r>
    </w:p>
    <w:p w14:paraId="1F89BA42">
      <w:pPr>
        <w:spacing w:line="360" w:lineRule="auto"/>
        <w:ind w:firstLine="640" w:firstLineChars="200"/>
        <w:rPr>
          <w:rFonts w:hint="default" w:ascii="仿宋" w:hAnsi="仿宋" w:eastAsia="仿宋" w:cs="仿宋"/>
          <w:color w:val="000000"/>
          <w:sz w:val="32"/>
          <w:szCs w:val="32"/>
          <w:lang w:val="en-US" w:eastAsia="zh-CN" w:bidi="ar"/>
        </w:rPr>
      </w:pPr>
      <w:r>
        <w:rPr>
          <w:rFonts w:hint="eastAsia" w:ascii="仿宋" w:hAnsi="仿宋" w:eastAsia="仿宋" w:cs="仿宋"/>
          <w:color w:val="000000"/>
          <w:sz w:val="32"/>
          <w:szCs w:val="32"/>
          <w:lang w:val="en-US" w:eastAsia="zh-CN" w:bidi="ar"/>
        </w:rPr>
        <w:t>本次采购预算95万，服务期一年。</w:t>
      </w:r>
    </w:p>
    <w:p w14:paraId="53E1A51B">
      <w:pPr>
        <w:spacing w:line="360" w:lineRule="auto"/>
        <w:ind w:firstLine="723" w:firstLineChars="200"/>
        <w:rPr>
          <w:rFonts w:ascii="仿宋" w:hAnsi="仿宋" w:eastAsia="仿宋" w:cs="宋体"/>
          <w:b/>
          <w:bCs/>
          <w:color w:val="000000"/>
          <w:kern w:val="0"/>
          <w:sz w:val="36"/>
          <w:szCs w:val="36"/>
          <w:shd w:val="clear" w:color="auto" w:fill="FFFFFF"/>
          <w:lang w:bidi="ar"/>
        </w:rPr>
      </w:pPr>
      <w:bookmarkStart w:id="0" w:name="_Toc182472435"/>
      <w:r>
        <w:rPr>
          <w:rFonts w:hint="eastAsia" w:ascii="仿宋" w:hAnsi="仿宋" w:eastAsia="仿宋" w:cs="宋体"/>
          <w:b/>
          <w:bCs/>
          <w:color w:val="000000"/>
          <w:kern w:val="0"/>
          <w:sz w:val="36"/>
          <w:szCs w:val="36"/>
          <w:shd w:val="clear" w:color="auto" w:fill="FFFFFF"/>
          <w:lang w:bidi="ar"/>
        </w:rPr>
        <w:t>二、维保</w:t>
      </w:r>
      <w:bookmarkEnd w:id="0"/>
      <w:r>
        <w:rPr>
          <w:rFonts w:hint="eastAsia" w:ascii="仿宋" w:hAnsi="仿宋" w:eastAsia="仿宋" w:cs="宋体"/>
          <w:b/>
          <w:bCs/>
          <w:color w:val="000000"/>
          <w:kern w:val="0"/>
          <w:sz w:val="36"/>
          <w:szCs w:val="36"/>
          <w:shd w:val="clear" w:color="auto" w:fill="FFFFFF"/>
          <w:lang w:bidi="ar"/>
        </w:rPr>
        <w:t>运维服务内容</w:t>
      </w:r>
    </w:p>
    <w:p w14:paraId="1287D8C0">
      <w:pPr>
        <w:ind w:firstLine="640" w:firstLineChars="200"/>
        <w:rPr>
          <w:rFonts w:ascii="仿宋" w:hAnsi="仿宋" w:eastAsia="仿宋"/>
          <w:sz w:val="32"/>
          <w:szCs w:val="32"/>
        </w:rPr>
      </w:pPr>
      <w:r>
        <w:rPr>
          <w:rFonts w:hint="eastAsia" w:ascii="仿宋" w:hAnsi="仿宋" w:eastAsia="仿宋"/>
          <w:sz w:val="32"/>
          <w:szCs w:val="32"/>
        </w:rPr>
        <w:t>针对全院网络当前情况，提供原厂</w:t>
      </w:r>
      <w:r>
        <w:rPr>
          <w:rFonts w:ascii="仿宋" w:hAnsi="仿宋" w:eastAsia="仿宋"/>
          <w:sz w:val="32"/>
          <w:szCs w:val="32"/>
        </w:rPr>
        <w:t>7×24</w:t>
      </w:r>
      <w:r>
        <w:rPr>
          <w:rFonts w:hint="eastAsia" w:ascii="仿宋" w:hAnsi="仿宋" w:eastAsia="仿宋"/>
          <w:sz w:val="32"/>
          <w:szCs w:val="32"/>
          <w:lang w:val="en-US" w:eastAsia="zh-CN"/>
        </w:rPr>
        <w:t>小时</w:t>
      </w:r>
      <w:r>
        <w:rPr>
          <w:rFonts w:hint="eastAsia" w:ascii="仿宋" w:hAnsi="仿宋" w:eastAsia="仿宋"/>
          <w:sz w:val="32"/>
          <w:szCs w:val="32"/>
        </w:rPr>
        <w:t>技术支持服务，快速响应需求，同时要求提供驻场运维人员，及时处理各类突发问题并完成日常常规运维工作。原厂保修和驻场运维结合，提升整体网络运维质量，保障业务持续稳健运行。</w:t>
      </w:r>
    </w:p>
    <w:p w14:paraId="0092EC5C">
      <w:pPr>
        <w:ind w:firstLine="643" w:firstLineChars="200"/>
        <w:rPr>
          <w:rFonts w:ascii="仿宋" w:hAnsi="仿宋" w:eastAsia="仿宋"/>
          <w:b/>
          <w:sz w:val="32"/>
          <w:szCs w:val="32"/>
        </w:rPr>
      </w:pPr>
      <w:r>
        <w:rPr>
          <w:rFonts w:hint="eastAsia" w:ascii="仿宋" w:hAnsi="仿宋" w:eastAsia="仿宋"/>
          <w:b/>
          <w:sz w:val="32"/>
          <w:szCs w:val="32"/>
        </w:rPr>
        <w:t>主要内容：</w:t>
      </w:r>
    </w:p>
    <w:p w14:paraId="1F823827">
      <w:pPr>
        <w:ind w:firstLine="643" w:firstLineChars="200"/>
        <w:rPr>
          <w:rFonts w:ascii="仿宋" w:hAnsi="仿宋" w:eastAsia="仿宋"/>
          <w:b/>
          <w:sz w:val="32"/>
          <w:szCs w:val="32"/>
        </w:rPr>
      </w:pPr>
      <w:r>
        <w:rPr>
          <w:rFonts w:ascii="仿宋" w:hAnsi="仿宋" w:eastAsia="仿宋"/>
          <w:b/>
          <w:sz w:val="32"/>
          <w:szCs w:val="32"/>
        </w:rPr>
        <w:t>1</w:t>
      </w:r>
      <w:r>
        <w:rPr>
          <w:rFonts w:hint="eastAsia" w:ascii="仿宋" w:hAnsi="仿宋" w:eastAsia="仿宋"/>
          <w:b/>
          <w:sz w:val="32"/>
          <w:szCs w:val="32"/>
        </w:rPr>
        <w:t>、软件版本管理与更新</w:t>
      </w:r>
      <w:r>
        <w:rPr>
          <w:rFonts w:hint="eastAsia" w:ascii="仿宋" w:hAnsi="仿宋" w:eastAsia="仿宋"/>
          <w:b/>
          <w:sz w:val="32"/>
          <w:szCs w:val="32"/>
        </w:rPr>
        <w:tab/>
      </w:r>
    </w:p>
    <w:p w14:paraId="61B0E285">
      <w:pPr>
        <w:ind w:firstLine="640" w:firstLineChars="200"/>
        <w:rPr>
          <w:rFonts w:ascii="仿宋" w:hAnsi="仿宋" w:eastAsia="仿宋"/>
          <w:sz w:val="32"/>
          <w:szCs w:val="32"/>
        </w:rPr>
      </w:pPr>
      <w:r>
        <w:rPr>
          <w:rFonts w:hint="eastAsia" w:ascii="仿宋" w:hAnsi="仿宋" w:eastAsia="仿宋"/>
          <w:sz w:val="32"/>
          <w:szCs w:val="32"/>
        </w:rPr>
        <w:t>在服务的有效期内，及时分析现网软件已知风险，为设备提供版本补丁及软件升级服务。软件支持服务包括客户所购设备主机软件的版本，如软件补丁（</w:t>
      </w:r>
      <w:r>
        <w:rPr>
          <w:rFonts w:ascii="仿宋" w:hAnsi="仿宋" w:eastAsia="仿宋"/>
          <w:sz w:val="32"/>
          <w:szCs w:val="32"/>
        </w:rPr>
        <w:t>Bug Fixes）、固件版本（Firmware Version）、软件版本更新（Soft Version Updates）等，以及这些软件的配套文档资料。</w:t>
      </w:r>
    </w:p>
    <w:p w14:paraId="59EEF00E">
      <w:pPr>
        <w:ind w:firstLine="643" w:firstLineChars="200"/>
        <w:rPr>
          <w:rFonts w:ascii="仿宋" w:hAnsi="仿宋" w:eastAsia="仿宋"/>
          <w:b/>
          <w:sz w:val="32"/>
          <w:szCs w:val="32"/>
        </w:rPr>
      </w:pPr>
      <w:r>
        <w:rPr>
          <w:rFonts w:ascii="仿宋" w:hAnsi="仿宋" w:eastAsia="仿宋"/>
          <w:b/>
          <w:sz w:val="32"/>
          <w:szCs w:val="32"/>
        </w:rPr>
        <w:t>2</w:t>
      </w:r>
      <w:r>
        <w:rPr>
          <w:rFonts w:hint="eastAsia" w:ascii="仿宋" w:hAnsi="仿宋" w:eastAsia="仿宋"/>
          <w:b/>
          <w:sz w:val="32"/>
          <w:szCs w:val="32"/>
        </w:rPr>
        <w:t>、网络加固方案服务</w:t>
      </w:r>
    </w:p>
    <w:p w14:paraId="3E7C2240">
      <w:pPr>
        <w:ind w:firstLine="640" w:firstLineChars="200"/>
        <w:rPr>
          <w:rFonts w:ascii="仿宋" w:hAnsi="仿宋" w:eastAsia="仿宋"/>
          <w:sz w:val="32"/>
          <w:szCs w:val="32"/>
        </w:rPr>
      </w:pPr>
      <w:r>
        <w:rPr>
          <w:rFonts w:hint="eastAsia" w:ascii="仿宋" w:hAnsi="仿宋" w:eastAsia="仿宋"/>
          <w:sz w:val="32"/>
          <w:szCs w:val="32"/>
        </w:rPr>
        <w:t>针对巡检或</w:t>
      </w:r>
      <w:r>
        <w:rPr>
          <w:rFonts w:hint="eastAsia" w:ascii="仿宋" w:hAnsi="仿宋" w:eastAsia="仿宋"/>
          <w:sz w:val="32"/>
          <w:szCs w:val="32"/>
          <w:lang w:val="en-US" w:eastAsia="zh-CN"/>
        </w:rPr>
        <w:t>其他方式</w:t>
      </w:r>
      <w:r>
        <w:rPr>
          <w:rFonts w:hint="eastAsia" w:ascii="仿宋" w:hAnsi="仿宋" w:eastAsia="仿宋"/>
          <w:sz w:val="32"/>
          <w:szCs w:val="32"/>
        </w:rPr>
        <w:t>发现的</w:t>
      </w:r>
      <w:r>
        <w:rPr>
          <w:rFonts w:hint="eastAsia" w:ascii="仿宋" w:hAnsi="仿宋" w:eastAsia="仿宋"/>
          <w:sz w:val="32"/>
          <w:szCs w:val="32"/>
          <w:lang w:val="en-US" w:eastAsia="zh-CN"/>
        </w:rPr>
        <w:t>网络</w:t>
      </w:r>
      <w:r>
        <w:rPr>
          <w:rFonts w:hint="eastAsia" w:ascii="仿宋" w:hAnsi="仿宋" w:eastAsia="仿宋"/>
          <w:sz w:val="32"/>
          <w:szCs w:val="32"/>
        </w:rPr>
        <w:t>隐患，给出具体的解决方案或维护建议；对现有网络架构和承载能力等各方面综合分析，对架构规划、配置参数等内容提出优化建议。</w:t>
      </w:r>
    </w:p>
    <w:p w14:paraId="3B3AD0EF">
      <w:pPr>
        <w:ind w:firstLine="643" w:firstLineChars="200"/>
        <w:rPr>
          <w:rFonts w:ascii="仿宋" w:hAnsi="仿宋" w:eastAsia="仿宋"/>
          <w:b/>
          <w:sz w:val="32"/>
          <w:szCs w:val="32"/>
        </w:rPr>
      </w:pPr>
      <w:r>
        <w:rPr>
          <w:rFonts w:ascii="仿宋" w:hAnsi="仿宋" w:eastAsia="仿宋"/>
          <w:b/>
          <w:sz w:val="32"/>
          <w:szCs w:val="32"/>
        </w:rPr>
        <w:t>3</w:t>
      </w:r>
      <w:r>
        <w:rPr>
          <w:rFonts w:hint="eastAsia" w:ascii="仿宋" w:hAnsi="仿宋" w:eastAsia="仿宋"/>
          <w:b/>
          <w:sz w:val="32"/>
          <w:szCs w:val="32"/>
        </w:rPr>
        <w:t>、服务总结与汇报</w:t>
      </w:r>
    </w:p>
    <w:p w14:paraId="5A6E38F0">
      <w:pPr>
        <w:ind w:firstLine="640" w:firstLineChars="200"/>
        <w:rPr>
          <w:rFonts w:ascii="仿宋" w:hAnsi="仿宋" w:eastAsia="仿宋"/>
          <w:sz w:val="32"/>
          <w:szCs w:val="32"/>
        </w:rPr>
      </w:pPr>
      <w:r>
        <w:rPr>
          <w:rFonts w:hint="eastAsia" w:ascii="仿宋" w:hAnsi="仿宋" w:eastAsia="仿宋"/>
          <w:sz w:val="32"/>
          <w:szCs w:val="32"/>
        </w:rPr>
        <w:t>根据实际需要，每季度进行一次日常维护服务总结，每年度一次汇报总结，听取客户领导相关意见，做出后续服务工作规划。</w:t>
      </w:r>
    </w:p>
    <w:p w14:paraId="518B4067">
      <w:pPr>
        <w:ind w:firstLine="643" w:firstLineChars="200"/>
        <w:rPr>
          <w:rFonts w:ascii="仿宋" w:hAnsi="仿宋" w:eastAsia="仿宋"/>
          <w:b/>
          <w:sz w:val="32"/>
          <w:szCs w:val="32"/>
        </w:rPr>
      </w:pPr>
      <w:r>
        <w:rPr>
          <w:rFonts w:hint="eastAsia" w:ascii="仿宋" w:hAnsi="仿宋" w:eastAsia="仿宋"/>
          <w:b/>
          <w:sz w:val="32"/>
          <w:szCs w:val="32"/>
        </w:rPr>
        <w:t>4、原厂备件服务</w:t>
      </w:r>
      <w:r>
        <w:rPr>
          <w:rFonts w:hint="eastAsia" w:ascii="仿宋" w:hAnsi="仿宋" w:eastAsia="仿宋"/>
          <w:b/>
          <w:sz w:val="32"/>
          <w:szCs w:val="32"/>
        </w:rPr>
        <w:tab/>
      </w:r>
    </w:p>
    <w:p w14:paraId="66329ADD">
      <w:pPr>
        <w:ind w:firstLine="640" w:firstLineChars="200"/>
        <w:rPr>
          <w:rFonts w:ascii="仿宋" w:hAnsi="仿宋" w:eastAsia="仿宋"/>
          <w:sz w:val="32"/>
          <w:szCs w:val="32"/>
        </w:rPr>
      </w:pPr>
      <w:r>
        <w:rPr>
          <w:rFonts w:hint="eastAsia" w:ascii="仿宋" w:hAnsi="仿宋" w:eastAsia="仿宋"/>
          <w:sz w:val="32"/>
          <w:szCs w:val="32"/>
        </w:rPr>
        <w:t>设备发生故障后，通过电话方式向厂商专家组发出更换申请，如确认设备为软件故障，400工程师通过软件版本升级等方式解决问题；如确认设备为硬件故障，现场工程师申请备件，在规定时间备件发至客户现场进行更换。</w:t>
      </w:r>
    </w:p>
    <w:p w14:paraId="3E6BFC42">
      <w:pPr>
        <w:ind w:firstLine="643" w:firstLineChars="200"/>
        <w:rPr>
          <w:rFonts w:ascii="仿宋" w:hAnsi="仿宋" w:eastAsia="仿宋"/>
          <w:b/>
          <w:sz w:val="32"/>
          <w:szCs w:val="32"/>
        </w:rPr>
      </w:pPr>
      <w:r>
        <w:rPr>
          <w:rFonts w:hint="eastAsia" w:ascii="仿宋" w:hAnsi="仿宋" w:eastAsia="仿宋"/>
          <w:b/>
          <w:sz w:val="32"/>
          <w:szCs w:val="32"/>
        </w:rPr>
        <w:t>5、驻场服务</w:t>
      </w:r>
    </w:p>
    <w:p w14:paraId="4FB94000">
      <w:pPr>
        <w:ind w:firstLine="640" w:firstLineChars="200"/>
        <w:rPr>
          <w:rFonts w:ascii="仿宋" w:hAnsi="仿宋" w:eastAsia="仿宋"/>
          <w:sz w:val="32"/>
          <w:szCs w:val="32"/>
        </w:rPr>
      </w:pPr>
      <w:r>
        <w:rPr>
          <w:rFonts w:hint="eastAsia" w:ascii="仿宋" w:hAnsi="仿宋" w:eastAsia="仿宋"/>
          <w:sz w:val="32"/>
          <w:szCs w:val="32"/>
        </w:rPr>
        <w:t>提供</w:t>
      </w:r>
      <w:r>
        <w:rPr>
          <w:rFonts w:hint="eastAsia" w:ascii="仿宋" w:hAnsi="仿宋" w:eastAsia="仿宋"/>
          <w:sz w:val="32"/>
          <w:szCs w:val="32"/>
          <w:lang w:val="en-US" w:eastAsia="zh-CN"/>
        </w:rPr>
        <w:t>至少</w:t>
      </w:r>
      <w:r>
        <w:rPr>
          <w:rFonts w:hint="eastAsia" w:ascii="仿宋" w:hAnsi="仿宋" w:eastAsia="仿宋"/>
          <w:sz w:val="32"/>
          <w:szCs w:val="32"/>
        </w:rPr>
        <w:t>一位驻场工程师，配合原厂技术人员提供</w:t>
      </w:r>
      <w:r>
        <w:rPr>
          <w:rFonts w:ascii="仿宋" w:hAnsi="仿宋" w:eastAsia="仿宋"/>
          <w:sz w:val="32"/>
          <w:szCs w:val="32"/>
        </w:rPr>
        <w:t>7×24</w:t>
      </w:r>
      <w:r>
        <w:rPr>
          <w:rFonts w:hint="eastAsia" w:ascii="仿宋" w:hAnsi="仿宋" w:eastAsia="仿宋"/>
          <w:sz w:val="32"/>
          <w:szCs w:val="32"/>
        </w:rPr>
        <w:t>小时一线快速响应服务，确保各项故障零沟通迅速处理，保障业务稳定运行。</w:t>
      </w:r>
    </w:p>
    <w:p w14:paraId="051733A1">
      <w:pPr>
        <w:spacing w:line="360" w:lineRule="auto"/>
        <w:ind w:firstLine="643" w:firstLineChars="200"/>
        <w:rPr>
          <w:rFonts w:ascii="仿宋" w:hAnsi="仿宋" w:eastAsia="仿宋" w:cs="宋体"/>
          <w:b/>
          <w:bCs/>
          <w:color w:val="000000"/>
          <w:kern w:val="0"/>
          <w:sz w:val="32"/>
          <w:szCs w:val="32"/>
          <w:shd w:val="clear" w:color="auto" w:fill="FFFFFF"/>
          <w:lang w:bidi="ar"/>
        </w:rPr>
      </w:pPr>
      <w:r>
        <w:rPr>
          <w:rFonts w:hint="eastAsia" w:ascii="仿宋" w:hAnsi="仿宋" w:eastAsia="仿宋" w:cs="宋体"/>
          <w:b/>
          <w:bCs/>
          <w:color w:val="000000"/>
          <w:kern w:val="0"/>
          <w:sz w:val="32"/>
          <w:szCs w:val="32"/>
          <w:shd w:val="clear" w:color="auto" w:fill="FFFFFF"/>
          <w:lang w:bidi="ar"/>
        </w:rPr>
        <w:t>6、应急事件处理</w:t>
      </w:r>
    </w:p>
    <w:p w14:paraId="3B24F697">
      <w:pPr>
        <w:ind w:firstLine="640" w:firstLineChars="200"/>
        <w:rPr>
          <w:rFonts w:ascii="仿宋" w:hAnsi="仿宋" w:eastAsia="仿宋"/>
          <w:sz w:val="32"/>
          <w:szCs w:val="32"/>
        </w:rPr>
      </w:pPr>
      <w:r>
        <w:rPr>
          <w:rFonts w:hint="eastAsia" w:ascii="仿宋" w:hAnsi="仿宋" w:eastAsia="仿宋"/>
          <w:sz w:val="32"/>
          <w:szCs w:val="32"/>
        </w:rPr>
        <w:t>针对发生的突发重特大网络</w:t>
      </w:r>
      <w:r>
        <w:rPr>
          <w:rFonts w:hint="eastAsia" w:ascii="仿宋" w:hAnsi="仿宋" w:eastAsia="仿宋"/>
          <w:sz w:val="32"/>
          <w:szCs w:val="32"/>
          <w:lang w:val="en-US" w:eastAsia="zh-CN"/>
        </w:rPr>
        <w:t>故障</w:t>
      </w:r>
      <w:r>
        <w:rPr>
          <w:rFonts w:hint="eastAsia" w:ascii="仿宋" w:hAnsi="仿宋" w:eastAsia="仿宋"/>
          <w:sz w:val="32"/>
          <w:szCs w:val="32"/>
        </w:rPr>
        <w:t>事件，中标厂商需在1</w:t>
      </w:r>
      <w:r>
        <w:rPr>
          <w:rFonts w:ascii="仿宋" w:hAnsi="仿宋" w:eastAsia="仿宋"/>
          <w:sz w:val="32"/>
          <w:szCs w:val="32"/>
        </w:rPr>
        <w:t>5</w:t>
      </w:r>
      <w:r>
        <w:rPr>
          <w:rFonts w:hint="eastAsia" w:ascii="仿宋" w:hAnsi="仿宋" w:eastAsia="仿宋"/>
          <w:sz w:val="32"/>
          <w:szCs w:val="32"/>
        </w:rPr>
        <w:t>分钟内响应，驻场工程师3</w:t>
      </w:r>
      <w:r>
        <w:rPr>
          <w:rFonts w:ascii="仿宋" w:hAnsi="仿宋" w:eastAsia="仿宋"/>
          <w:sz w:val="32"/>
          <w:szCs w:val="32"/>
        </w:rPr>
        <w:t>0</w:t>
      </w:r>
      <w:r>
        <w:rPr>
          <w:rFonts w:hint="eastAsia" w:ascii="仿宋" w:hAnsi="仿宋" w:eastAsia="仿宋"/>
          <w:sz w:val="32"/>
          <w:szCs w:val="32"/>
        </w:rPr>
        <w:t>分钟内到达现场，核心设备原厂（核心交换机、网络综合管理平台）技术工程师4小时到达现场，提供驻点应急处理服务，2</w:t>
      </w:r>
      <w:r>
        <w:rPr>
          <w:rFonts w:ascii="仿宋" w:hAnsi="仿宋" w:eastAsia="仿宋"/>
          <w:sz w:val="32"/>
          <w:szCs w:val="32"/>
        </w:rPr>
        <w:t>4</w:t>
      </w:r>
      <w:r>
        <w:rPr>
          <w:rFonts w:hint="eastAsia" w:ascii="仿宋" w:hAnsi="仿宋" w:eastAsia="仿宋"/>
          <w:sz w:val="32"/>
          <w:szCs w:val="32"/>
        </w:rPr>
        <w:t>小时内恢复业务正常运行。</w:t>
      </w:r>
    </w:p>
    <w:p w14:paraId="129E4EAC">
      <w:pPr>
        <w:spacing w:line="360" w:lineRule="auto"/>
        <w:ind w:firstLine="643" w:firstLineChars="200"/>
        <w:rPr>
          <w:rFonts w:ascii="仿宋" w:hAnsi="仿宋" w:eastAsia="仿宋" w:cs="宋体"/>
          <w:b/>
          <w:bCs/>
          <w:color w:val="000000"/>
          <w:kern w:val="0"/>
          <w:sz w:val="32"/>
          <w:szCs w:val="32"/>
          <w:shd w:val="clear" w:color="auto" w:fill="FFFFFF"/>
          <w:lang w:bidi="ar"/>
        </w:rPr>
      </w:pPr>
      <w:r>
        <w:rPr>
          <w:rFonts w:ascii="仿宋" w:hAnsi="仿宋" w:eastAsia="仿宋" w:cs="宋体"/>
          <w:b/>
          <w:bCs/>
          <w:color w:val="000000"/>
          <w:kern w:val="0"/>
          <w:sz w:val="32"/>
          <w:szCs w:val="32"/>
          <w:shd w:val="clear" w:color="auto" w:fill="FFFFFF"/>
          <w:lang w:bidi="ar"/>
        </w:rPr>
        <w:t>7</w:t>
      </w:r>
      <w:r>
        <w:rPr>
          <w:rFonts w:hint="eastAsia" w:ascii="仿宋" w:hAnsi="仿宋" w:eastAsia="仿宋" w:cs="宋体"/>
          <w:b/>
          <w:bCs/>
          <w:color w:val="000000"/>
          <w:kern w:val="0"/>
          <w:sz w:val="32"/>
          <w:szCs w:val="32"/>
          <w:shd w:val="clear" w:color="auto" w:fill="FFFFFF"/>
          <w:lang w:bidi="ar"/>
        </w:rPr>
        <w:t>、远程技术支持服务</w:t>
      </w:r>
    </w:p>
    <w:p w14:paraId="5A94AF83">
      <w:pPr>
        <w:ind w:firstLine="640" w:firstLineChars="200"/>
        <w:rPr>
          <w:rFonts w:ascii="仿宋" w:hAnsi="仿宋" w:eastAsia="仿宋"/>
          <w:sz w:val="32"/>
          <w:szCs w:val="32"/>
        </w:rPr>
      </w:pPr>
      <w:r>
        <w:rPr>
          <w:rFonts w:hint="eastAsia" w:ascii="仿宋" w:hAnsi="仿宋" w:eastAsia="仿宋"/>
          <w:sz w:val="32"/>
          <w:szCs w:val="32"/>
        </w:rPr>
        <w:t>要求设备厂商设有</w:t>
      </w:r>
      <w:r>
        <w:rPr>
          <w:rFonts w:ascii="仿宋" w:hAnsi="仿宋" w:eastAsia="仿宋"/>
          <w:sz w:val="32"/>
          <w:szCs w:val="32"/>
        </w:rPr>
        <w:t>7×24</w:t>
      </w:r>
      <w:r>
        <w:rPr>
          <w:rFonts w:hint="eastAsia" w:ascii="仿宋" w:hAnsi="仿宋" w:eastAsia="仿宋"/>
          <w:sz w:val="32"/>
          <w:szCs w:val="32"/>
          <w:lang w:val="en-US" w:eastAsia="zh-CN"/>
        </w:rPr>
        <w:t>小时</w:t>
      </w:r>
      <w:r>
        <w:rPr>
          <w:rFonts w:ascii="仿宋" w:hAnsi="仿宋" w:eastAsia="仿宋"/>
          <w:sz w:val="32"/>
          <w:szCs w:val="32"/>
        </w:rPr>
        <w:t>客户服务热线，提供产品技术咨询、故障申报受理、硬件维修RMA受理等服务内容。客户有相关问题时，可以拨打</w:t>
      </w:r>
      <w:r>
        <w:rPr>
          <w:rFonts w:hint="eastAsia" w:ascii="仿宋" w:hAnsi="仿宋" w:eastAsia="仿宋"/>
          <w:sz w:val="32"/>
          <w:szCs w:val="32"/>
        </w:rPr>
        <w:t>原厂商</w:t>
      </w:r>
      <w:r>
        <w:rPr>
          <w:rFonts w:ascii="仿宋" w:hAnsi="仿宋" w:eastAsia="仿宋"/>
          <w:sz w:val="32"/>
          <w:szCs w:val="32"/>
        </w:rPr>
        <w:t>技术支持中心400电话进行问题解决。</w:t>
      </w:r>
    </w:p>
    <w:p w14:paraId="6E92D77E">
      <w:pPr>
        <w:spacing w:line="360" w:lineRule="auto"/>
        <w:ind w:firstLine="643" w:firstLineChars="200"/>
        <w:rPr>
          <w:rFonts w:ascii="仿宋" w:hAnsi="仿宋" w:eastAsia="仿宋" w:cs="宋体"/>
          <w:b/>
          <w:bCs/>
          <w:color w:val="000000"/>
          <w:kern w:val="0"/>
          <w:sz w:val="32"/>
          <w:szCs w:val="32"/>
          <w:shd w:val="clear" w:color="auto" w:fill="FFFFFF"/>
          <w:lang w:bidi="ar"/>
        </w:rPr>
      </w:pPr>
      <w:r>
        <w:rPr>
          <w:rFonts w:ascii="仿宋" w:hAnsi="仿宋" w:eastAsia="仿宋" w:cs="宋体"/>
          <w:b/>
          <w:bCs/>
          <w:color w:val="000000"/>
          <w:kern w:val="0"/>
          <w:sz w:val="32"/>
          <w:szCs w:val="32"/>
          <w:shd w:val="clear" w:color="auto" w:fill="FFFFFF"/>
          <w:lang w:bidi="ar"/>
        </w:rPr>
        <w:t>8</w:t>
      </w:r>
      <w:r>
        <w:rPr>
          <w:rFonts w:hint="eastAsia" w:ascii="仿宋" w:hAnsi="仿宋" w:eastAsia="仿宋" w:cs="宋体"/>
          <w:b/>
          <w:bCs/>
          <w:color w:val="000000"/>
          <w:kern w:val="0"/>
          <w:sz w:val="32"/>
          <w:szCs w:val="32"/>
          <w:shd w:val="clear" w:color="auto" w:fill="FFFFFF"/>
          <w:lang w:bidi="ar"/>
        </w:rPr>
        <w:t>、在线支持服务</w:t>
      </w:r>
    </w:p>
    <w:p w14:paraId="02B20B3C">
      <w:pPr>
        <w:ind w:firstLine="640" w:firstLineChars="200"/>
        <w:rPr>
          <w:rFonts w:ascii="仿宋" w:hAnsi="仿宋" w:eastAsia="仿宋"/>
          <w:sz w:val="32"/>
          <w:szCs w:val="32"/>
        </w:rPr>
      </w:pPr>
      <w:r>
        <w:rPr>
          <w:rFonts w:hint="eastAsia" w:ascii="仿宋" w:hAnsi="仿宋" w:eastAsia="仿宋"/>
          <w:sz w:val="32"/>
          <w:szCs w:val="32"/>
        </w:rPr>
        <w:t>在服务有效期内，客户可以获得授权，以原厂商</w:t>
      </w:r>
      <w:r>
        <w:rPr>
          <w:rFonts w:ascii="仿宋" w:hAnsi="仿宋" w:eastAsia="仿宋"/>
          <w:sz w:val="32"/>
          <w:szCs w:val="32"/>
        </w:rPr>
        <w:t>用户的身份访问</w:t>
      </w:r>
      <w:r>
        <w:rPr>
          <w:rFonts w:hint="eastAsia" w:ascii="仿宋" w:hAnsi="仿宋" w:eastAsia="仿宋"/>
          <w:sz w:val="32"/>
          <w:szCs w:val="32"/>
        </w:rPr>
        <w:t>厂商</w:t>
      </w:r>
      <w:r>
        <w:rPr>
          <w:rFonts w:ascii="仿宋" w:hAnsi="仿宋" w:eastAsia="仿宋"/>
          <w:sz w:val="32"/>
          <w:szCs w:val="32"/>
        </w:rPr>
        <w:t>公司网站和</w:t>
      </w:r>
      <w:r>
        <w:rPr>
          <w:rFonts w:hint="eastAsia" w:ascii="仿宋" w:hAnsi="仿宋" w:eastAsia="仿宋"/>
          <w:sz w:val="32"/>
          <w:szCs w:val="32"/>
        </w:rPr>
        <w:t>技术</w:t>
      </w:r>
      <w:r>
        <w:rPr>
          <w:rFonts w:ascii="仿宋" w:hAnsi="仿宋" w:eastAsia="仿宋"/>
          <w:sz w:val="32"/>
          <w:szCs w:val="32"/>
        </w:rPr>
        <w:t>社区。网站和社区</w:t>
      </w:r>
      <w:r>
        <w:rPr>
          <w:rFonts w:hint="eastAsia" w:ascii="仿宋" w:hAnsi="仿宋" w:eastAsia="仿宋"/>
          <w:sz w:val="32"/>
          <w:szCs w:val="32"/>
        </w:rPr>
        <w:t>需提供相关</w:t>
      </w:r>
      <w:r>
        <w:rPr>
          <w:rFonts w:ascii="仿宋" w:hAnsi="仿宋" w:eastAsia="仿宋"/>
          <w:sz w:val="32"/>
          <w:szCs w:val="32"/>
        </w:rPr>
        <w:t>的产品和技术资料，如产品版本、产品安装指南、版本说明书、经典维护案例、经验汇总等；同时</w:t>
      </w:r>
      <w:r>
        <w:rPr>
          <w:rFonts w:hint="eastAsia" w:ascii="仿宋" w:hAnsi="仿宋" w:eastAsia="仿宋"/>
          <w:sz w:val="32"/>
          <w:szCs w:val="32"/>
        </w:rPr>
        <w:t>需要有</w:t>
      </w:r>
      <w:r>
        <w:rPr>
          <w:rFonts w:ascii="仿宋" w:hAnsi="仿宋" w:eastAsia="仿宋"/>
          <w:sz w:val="32"/>
          <w:szCs w:val="32"/>
        </w:rPr>
        <w:t>产品技术的开放性平台。客户还可以在</w:t>
      </w:r>
      <w:r>
        <w:rPr>
          <w:rFonts w:hint="eastAsia" w:ascii="仿宋" w:hAnsi="仿宋" w:eastAsia="仿宋"/>
          <w:sz w:val="32"/>
          <w:szCs w:val="32"/>
        </w:rPr>
        <w:t>技术</w:t>
      </w:r>
      <w:r>
        <w:rPr>
          <w:rFonts w:ascii="仿宋" w:hAnsi="仿宋" w:eastAsia="仿宋"/>
          <w:sz w:val="32"/>
          <w:szCs w:val="32"/>
        </w:rPr>
        <w:t>社区里面提问，</w:t>
      </w:r>
      <w:r>
        <w:rPr>
          <w:rFonts w:hint="eastAsia" w:ascii="仿宋" w:hAnsi="仿宋" w:eastAsia="仿宋"/>
          <w:sz w:val="32"/>
          <w:szCs w:val="32"/>
        </w:rPr>
        <w:t>由原厂商</w:t>
      </w:r>
      <w:r>
        <w:rPr>
          <w:rFonts w:ascii="仿宋" w:hAnsi="仿宋" w:eastAsia="仿宋"/>
          <w:sz w:val="32"/>
          <w:szCs w:val="32"/>
        </w:rPr>
        <w:t>工程师及时进行问题解答。</w:t>
      </w:r>
    </w:p>
    <w:p w14:paraId="6DCF4E9F">
      <w:pPr>
        <w:spacing w:line="360" w:lineRule="auto"/>
        <w:ind w:firstLine="643" w:firstLineChars="200"/>
        <w:rPr>
          <w:rFonts w:ascii="仿宋" w:hAnsi="仿宋" w:eastAsia="仿宋" w:cs="宋体"/>
          <w:b/>
          <w:bCs/>
          <w:color w:val="000000"/>
          <w:kern w:val="0"/>
          <w:sz w:val="32"/>
          <w:szCs w:val="32"/>
          <w:shd w:val="clear" w:color="auto" w:fill="FFFFFF"/>
          <w:lang w:bidi="ar"/>
        </w:rPr>
      </w:pPr>
      <w:r>
        <w:rPr>
          <w:rFonts w:hint="eastAsia" w:ascii="仿宋" w:hAnsi="仿宋" w:eastAsia="仿宋" w:cs="宋体"/>
          <w:b/>
          <w:bCs/>
          <w:color w:val="000000"/>
          <w:kern w:val="0"/>
          <w:sz w:val="32"/>
          <w:szCs w:val="32"/>
          <w:shd w:val="clear" w:color="auto" w:fill="FFFFFF"/>
          <w:lang w:bidi="ar"/>
        </w:rPr>
        <w:t>9、服务数字中枢系统</w:t>
      </w:r>
    </w:p>
    <w:p w14:paraId="0F4EC4BE">
      <w:pPr>
        <w:spacing w:line="360" w:lineRule="auto"/>
        <w:ind w:firstLine="640" w:firstLineChars="200"/>
        <w:rPr>
          <w:rFonts w:ascii="仿宋" w:hAnsi="仿宋" w:eastAsia="仿宋"/>
          <w:sz w:val="32"/>
          <w:szCs w:val="32"/>
        </w:rPr>
      </w:pPr>
      <w:r>
        <w:rPr>
          <w:rFonts w:hint="eastAsia" w:ascii="仿宋" w:hAnsi="仿宋" w:eastAsia="仿宋"/>
          <w:sz w:val="32"/>
          <w:szCs w:val="32"/>
        </w:rPr>
        <w:t>在服务有效期内，客户获得原厂商授权，可以登录原厂商服务数字中枢在线云端系统，进行账号注册，用账号登录云平台，使用数字中枢云平台的服务功能。原厂商服务数字中枢在线云端系统功能主要包括：设备基本信息管理、资源状态检查、配置安全评估、技术公告扫描、版本管理、硬件问题主动服务、项目交维检查服务和远程管理。</w:t>
      </w:r>
    </w:p>
    <w:p w14:paraId="5BDE73D4">
      <w:pPr>
        <w:pStyle w:val="35"/>
        <w:numPr>
          <w:ilvl w:val="0"/>
          <w:numId w:val="1"/>
        </w:numPr>
        <w:spacing w:line="360" w:lineRule="auto"/>
        <w:ind w:left="0" w:firstLine="709"/>
        <w:rPr>
          <w:rFonts w:ascii="仿宋" w:hAnsi="仿宋" w:eastAsia="仿宋"/>
          <w:sz w:val="32"/>
          <w:szCs w:val="32"/>
        </w:rPr>
      </w:pPr>
      <w:r>
        <w:rPr>
          <w:rFonts w:ascii="仿宋" w:hAnsi="仿宋" w:eastAsia="仿宋"/>
          <w:sz w:val="32"/>
          <w:szCs w:val="32"/>
        </w:rPr>
        <w:t>设备基本信息管理帮助客户统一管理设备的系列、型号、版本信息和设备维保信息，并汇总成表格，方便客户查看；</w:t>
      </w:r>
    </w:p>
    <w:p w14:paraId="000E7ECF">
      <w:pPr>
        <w:pStyle w:val="35"/>
        <w:numPr>
          <w:ilvl w:val="0"/>
          <w:numId w:val="1"/>
        </w:numPr>
        <w:spacing w:line="360" w:lineRule="auto"/>
        <w:ind w:left="0" w:firstLine="709"/>
        <w:rPr>
          <w:rFonts w:ascii="仿宋" w:hAnsi="仿宋" w:eastAsia="仿宋"/>
          <w:sz w:val="32"/>
          <w:szCs w:val="32"/>
        </w:rPr>
      </w:pPr>
      <w:r>
        <w:rPr>
          <w:rFonts w:ascii="仿宋" w:hAnsi="仿宋" w:eastAsia="仿宋"/>
          <w:sz w:val="32"/>
          <w:szCs w:val="32"/>
        </w:rPr>
        <w:t>资源状态检查可以对设备的硬件状态、软件状态、设备运行状态进行分析检查，生成检查结果，告知客户相关风险和处理建议；</w:t>
      </w:r>
    </w:p>
    <w:p w14:paraId="4723892A">
      <w:pPr>
        <w:pStyle w:val="35"/>
        <w:numPr>
          <w:ilvl w:val="0"/>
          <w:numId w:val="1"/>
        </w:numPr>
        <w:spacing w:line="360" w:lineRule="auto"/>
        <w:ind w:left="0" w:firstLine="709"/>
        <w:rPr>
          <w:rFonts w:ascii="仿宋" w:hAnsi="仿宋" w:eastAsia="仿宋"/>
          <w:sz w:val="32"/>
          <w:szCs w:val="32"/>
        </w:rPr>
      </w:pPr>
      <w:r>
        <w:rPr>
          <w:rFonts w:ascii="仿宋" w:hAnsi="仿宋" w:eastAsia="仿宋"/>
          <w:sz w:val="32"/>
          <w:szCs w:val="32"/>
        </w:rPr>
        <w:t>配置安全评估能对客户设备的配置进行安全规范性评估，生成检查结果，告知客户相关风险和处理建议；</w:t>
      </w:r>
    </w:p>
    <w:p w14:paraId="3951F26A">
      <w:pPr>
        <w:pStyle w:val="35"/>
        <w:numPr>
          <w:ilvl w:val="0"/>
          <w:numId w:val="1"/>
        </w:numPr>
        <w:spacing w:line="360" w:lineRule="auto"/>
        <w:ind w:left="0" w:firstLine="709"/>
        <w:rPr>
          <w:rFonts w:ascii="仿宋" w:hAnsi="仿宋" w:eastAsia="仿宋"/>
          <w:sz w:val="32"/>
          <w:szCs w:val="32"/>
        </w:rPr>
      </w:pPr>
      <w:r>
        <w:rPr>
          <w:rFonts w:ascii="仿宋" w:hAnsi="仿宋" w:eastAsia="仿宋"/>
          <w:sz w:val="32"/>
          <w:szCs w:val="32"/>
        </w:rPr>
        <w:t>技术公告检查能将</w:t>
      </w:r>
      <w:r>
        <w:rPr>
          <w:rFonts w:hint="eastAsia" w:ascii="仿宋" w:hAnsi="仿宋" w:eastAsia="仿宋"/>
          <w:sz w:val="32"/>
          <w:szCs w:val="32"/>
        </w:rPr>
        <w:t>原厂商</w:t>
      </w:r>
      <w:r>
        <w:rPr>
          <w:rFonts w:ascii="仿宋" w:hAnsi="仿宋" w:eastAsia="仿宋"/>
          <w:sz w:val="32"/>
          <w:szCs w:val="32"/>
        </w:rPr>
        <w:t>发布的所有技术公告与客户在网设备实际情况进行深度匹配，全方位检查，尽早发现设备风险隐患。若匹配到相应技术公告，提醒客户进行规避和解决；</w:t>
      </w:r>
    </w:p>
    <w:p w14:paraId="17CDB20A">
      <w:pPr>
        <w:pStyle w:val="35"/>
        <w:numPr>
          <w:ilvl w:val="0"/>
          <w:numId w:val="1"/>
        </w:numPr>
        <w:spacing w:line="360" w:lineRule="auto"/>
        <w:ind w:left="0" w:firstLine="709"/>
        <w:rPr>
          <w:rFonts w:ascii="仿宋" w:hAnsi="仿宋" w:eastAsia="仿宋"/>
          <w:sz w:val="32"/>
          <w:szCs w:val="32"/>
        </w:rPr>
      </w:pPr>
      <w:r>
        <w:rPr>
          <w:rFonts w:ascii="仿宋" w:hAnsi="仿宋" w:eastAsia="仿宋"/>
          <w:sz w:val="32"/>
          <w:szCs w:val="32"/>
        </w:rPr>
        <w:t>版本管理帮助客户检查同一系列的设备是否存在使用多个版本的情况，并进行汇总，方便客户查看，并进行简单评估；</w:t>
      </w:r>
    </w:p>
    <w:p w14:paraId="4933E1D4">
      <w:pPr>
        <w:pStyle w:val="35"/>
        <w:numPr>
          <w:ilvl w:val="0"/>
          <w:numId w:val="1"/>
        </w:numPr>
        <w:spacing w:line="360" w:lineRule="auto"/>
        <w:ind w:left="0" w:firstLine="709"/>
        <w:rPr>
          <w:rFonts w:ascii="仿宋" w:hAnsi="仿宋" w:eastAsia="仿宋"/>
          <w:sz w:val="32"/>
          <w:szCs w:val="32"/>
        </w:rPr>
      </w:pPr>
      <w:r>
        <w:rPr>
          <w:rFonts w:ascii="仿宋" w:hAnsi="仿宋" w:eastAsia="仿宋"/>
          <w:sz w:val="32"/>
          <w:szCs w:val="32"/>
        </w:rPr>
        <w:t>硬件问题主动式服务，服务数字中枢能对在线检查中发现的硬件问题，自动告知</w:t>
      </w:r>
      <w:r>
        <w:rPr>
          <w:rFonts w:hint="eastAsia" w:ascii="仿宋" w:hAnsi="仿宋" w:eastAsia="仿宋"/>
          <w:sz w:val="32"/>
          <w:szCs w:val="32"/>
        </w:rPr>
        <w:t>原厂商</w:t>
      </w:r>
      <w:r>
        <w:rPr>
          <w:rFonts w:ascii="仿宋" w:hAnsi="仿宋" w:eastAsia="仿宋"/>
          <w:sz w:val="32"/>
          <w:szCs w:val="32"/>
        </w:rPr>
        <w:t>技术工程师，工程师会主动联系客户提供解决方案；</w:t>
      </w:r>
    </w:p>
    <w:p w14:paraId="666B64B2">
      <w:pPr>
        <w:pStyle w:val="35"/>
        <w:numPr>
          <w:ilvl w:val="0"/>
          <w:numId w:val="1"/>
        </w:numPr>
        <w:spacing w:line="360" w:lineRule="auto"/>
        <w:ind w:left="0" w:firstLine="709"/>
        <w:rPr>
          <w:rFonts w:ascii="仿宋" w:hAnsi="仿宋" w:eastAsia="仿宋"/>
          <w:sz w:val="32"/>
          <w:szCs w:val="32"/>
        </w:rPr>
      </w:pPr>
      <w:r>
        <w:rPr>
          <w:rFonts w:ascii="仿宋" w:hAnsi="仿宋" w:eastAsia="仿宋"/>
          <w:sz w:val="32"/>
          <w:szCs w:val="32"/>
        </w:rPr>
        <w:t>项目交维检查服务，</w:t>
      </w:r>
      <w:r>
        <w:rPr>
          <w:rFonts w:hint="eastAsia" w:ascii="仿宋" w:hAnsi="仿宋" w:eastAsia="仿宋"/>
          <w:sz w:val="32"/>
          <w:szCs w:val="32"/>
        </w:rPr>
        <w:t>原厂商</w:t>
      </w:r>
      <w:r>
        <w:rPr>
          <w:rFonts w:ascii="仿宋" w:hAnsi="仿宋" w:eastAsia="仿宋"/>
          <w:sz w:val="32"/>
          <w:szCs w:val="32"/>
        </w:rPr>
        <w:t>工程师可以利用服务数字中枢在线云端系统对客户整网的CT设备信息进行收集，实现云端巡检，最终向客户提供项目交维报告；</w:t>
      </w:r>
    </w:p>
    <w:p w14:paraId="16749ED8">
      <w:pPr>
        <w:pStyle w:val="35"/>
        <w:numPr>
          <w:ilvl w:val="0"/>
          <w:numId w:val="1"/>
        </w:numPr>
        <w:spacing w:line="360" w:lineRule="auto"/>
        <w:ind w:left="0" w:firstLine="709"/>
        <w:rPr>
          <w:rFonts w:ascii="仿宋" w:hAnsi="仿宋" w:eastAsia="仿宋"/>
          <w:sz w:val="32"/>
          <w:szCs w:val="32"/>
        </w:rPr>
      </w:pPr>
      <w:r>
        <w:rPr>
          <w:rFonts w:ascii="仿宋" w:hAnsi="仿宋" w:eastAsia="仿宋"/>
          <w:sz w:val="32"/>
          <w:szCs w:val="32"/>
        </w:rPr>
        <w:t>在部署微探针的情况下，客户可以登录服务数字中枢在线云端系统，通过数字中枢云端系统的远程管理访问设备控制台和web网管界面，对设备进行管理操作。</w:t>
      </w:r>
    </w:p>
    <w:p w14:paraId="4361E052">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10、协助服务</w:t>
      </w:r>
    </w:p>
    <w:p w14:paraId="49349EF5">
      <w:pPr>
        <w:spacing w:line="360" w:lineRule="auto"/>
        <w:ind w:firstLine="640" w:firstLineChars="200"/>
        <w:rPr>
          <w:rFonts w:ascii="仿宋" w:hAnsi="仿宋" w:eastAsia="仿宋"/>
          <w:sz w:val="32"/>
          <w:szCs w:val="32"/>
        </w:rPr>
      </w:pPr>
      <w:r>
        <w:rPr>
          <w:rFonts w:hint="eastAsia" w:ascii="仿宋" w:hAnsi="仿宋" w:eastAsia="仿宋"/>
          <w:sz w:val="32"/>
          <w:szCs w:val="32"/>
        </w:rPr>
        <w:t>包含但不限于：</w:t>
      </w:r>
    </w:p>
    <w:p w14:paraId="7EDDBFCF">
      <w:pPr>
        <w:spacing w:line="360" w:lineRule="auto"/>
        <w:ind w:firstLine="640" w:firstLineChars="200"/>
        <w:rPr>
          <w:rFonts w:ascii="仿宋" w:hAnsi="仿宋" w:eastAsia="仿宋"/>
          <w:sz w:val="32"/>
          <w:szCs w:val="32"/>
        </w:rPr>
      </w:pPr>
      <w:r>
        <w:rPr>
          <w:rFonts w:hint="eastAsia" w:ascii="仿宋" w:hAnsi="仿宋" w:eastAsia="仿宋"/>
          <w:sz w:val="32"/>
          <w:szCs w:val="32"/>
        </w:rPr>
        <w:t>等级保护测评全程协助；</w:t>
      </w:r>
    </w:p>
    <w:p w14:paraId="14465C20">
      <w:pPr>
        <w:spacing w:line="360" w:lineRule="auto"/>
        <w:ind w:firstLine="640" w:firstLineChars="200"/>
        <w:rPr>
          <w:rFonts w:ascii="仿宋" w:hAnsi="仿宋" w:eastAsia="仿宋"/>
          <w:sz w:val="32"/>
          <w:szCs w:val="32"/>
        </w:rPr>
      </w:pPr>
      <w:r>
        <w:rPr>
          <w:rFonts w:hint="eastAsia" w:ascii="仿宋" w:hAnsi="仿宋" w:eastAsia="仿宋"/>
          <w:sz w:val="32"/>
          <w:szCs w:val="32"/>
        </w:rPr>
        <w:t>数通与安全设备策略配置全程协助；</w:t>
      </w:r>
    </w:p>
    <w:p w14:paraId="0E3F73E8">
      <w:pPr>
        <w:spacing w:line="360" w:lineRule="auto"/>
        <w:ind w:firstLine="640" w:firstLineChars="200"/>
        <w:rPr>
          <w:rFonts w:ascii="仿宋" w:hAnsi="仿宋" w:eastAsia="仿宋"/>
          <w:sz w:val="32"/>
          <w:szCs w:val="32"/>
        </w:rPr>
      </w:pPr>
      <w:r>
        <w:rPr>
          <w:rFonts w:hint="eastAsia" w:ascii="仿宋" w:hAnsi="仿宋" w:eastAsia="仿宋"/>
          <w:sz w:val="32"/>
          <w:szCs w:val="32"/>
        </w:rPr>
        <w:t>安全事件全程协助与配合；</w:t>
      </w:r>
    </w:p>
    <w:p w14:paraId="526E93D4">
      <w:pPr>
        <w:spacing w:line="360" w:lineRule="auto"/>
        <w:ind w:firstLine="640" w:firstLineChars="200"/>
        <w:rPr>
          <w:rFonts w:ascii="仿宋" w:hAnsi="仿宋" w:eastAsia="仿宋"/>
          <w:sz w:val="32"/>
          <w:szCs w:val="32"/>
        </w:rPr>
      </w:pPr>
      <w:r>
        <w:rPr>
          <w:rFonts w:hint="eastAsia" w:ascii="仿宋" w:hAnsi="仿宋" w:eastAsia="仿宋"/>
          <w:sz w:val="32"/>
          <w:szCs w:val="32"/>
        </w:rPr>
        <w:t>业务系统故障协助排查；</w:t>
      </w:r>
    </w:p>
    <w:p w14:paraId="077F32EF">
      <w:pPr>
        <w:spacing w:line="360" w:lineRule="auto"/>
        <w:ind w:firstLine="640" w:firstLineChars="200"/>
        <w:rPr>
          <w:rFonts w:ascii="仿宋" w:hAnsi="仿宋" w:eastAsia="仿宋"/>
          <w:sz w:val="32"/>
          <w:szCs w:val="32"/>
        </w:rPr>
      </w:pPr>
      <w:r>
        <w:rPr>
          <w:rFonts w:hint="eastAsia" w:ascii="仿宋" w:hAnsi="仿宋" w:eastAsia="仿宋"/>
          <w:sz w:val="32"/>
          <w:szCs w:val="32"/>
        </w:rPr>
        <w:t>其他与主干网相关协助等。</w:t>
      </w:r>
    </w:p>
    <w:p w14:paraId="4F0753FD">
      <w:pPr>
        <w:spacing w:line="360" w:lineRule="auto"/>
        <w:ind w:firstLine="723" w:firstLineChars="200"/>
        <w:rPr>
          <w:rFonts w:ascii="仿宋" w:hAnsi="仿宋" w:eastAsia="仿宋" w:cs="宋体"/>
          <w:b/>
          <w:bCs/>
          <w:color w:val="000000"/>
          <w:kern w:val="0"/>
          <w:sz w:val="36"/>
          <w:szCs w:val="36"/>
          <w:shd w:val="clear" w:color="auto" w:fill="FFFFFF"/>
          <w:lang w:bidi="ar"/>
        </w:rPr>
      </w:pPr>
      <w:r>
        <w:rPr>
          <w:rFonts w:hint="eastAsia" w:ascii="仿宋" w:hAnsi="仿宋" w:eastAsia="仿宋" w:cs="宋体"/>
          <w:b/>
          <w:bCs/>
          <w:color w:val="000000"/>
          <w:kern w:val="0"/>
          <w:sz w:val="36"/>
          <w:szCs w:val="36"/>
          <w:shd w:val="clear" w:color="auto" w:fill="FFFFFF"/>
          <w:lang w:bidi="ar"/>
        </w:rPr>
        <w:t>三、维保与运维设备清单</w:t>
      </w:r>
    </w:p>
    <w:tbl>
      <w:tblPr>
        <w:tblStyle w:val="19"/>
        <w:tblW w:w="842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3"/>
        <w:gridCol w:w="1704"/>
        <w:gridCol w:w="1308"/>
        <w:gridCol w:w="3336"/>
        <w:gridCol w:w="1375"/>
      </w:tblGrid>
      <w:tr w14:paraId="449DC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703" w:type="dxa"/>
            <w:vMerge w:val="restart"/>
            <w:tcBorders>
              <w:top w:val="single" w:color="000000" w:sz="8" w:space="0"/>
              <w:left w:val="single" w:color="000000" w:sz="8" w:space="0"/>
              <w:bottom w:val="single" w:color="000000" w:sz="8" w:space="0"/>
              <w:right w:val="single" w:color="000000" w:sz="8" w:space="0"/>
            </w:tcBorders>
            <w:shd w:val="clear" w:color="auto" w:fill="BFBFBF"/>
            <w:vAlign w:val="center"/>
          </w:tcPr>
          <w:p w14:paraId="77E02A7E">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704" w:type="dxa"/>
            <w:vMerge w:val="restart"/>
            <w:tcBorders>
              <w:top w:val="single" w:color="000000" w:sz="8" w:space="0"/>
              <w:left w:val="nil"/>
              <w:bottom w:val="single" w:color="000000" w:sz="8" w:space="0"/>
              <w:right w:val="single" w:color="000000" w:sz="8" w:space="0"/>
            </w:tcBorders>
            <w:shd w:val="clear" w:color="auto" w:fill="BFBFBF"/>
            <w:vAlign w:val="center"/>
          </w:tcPr>
          <w:p w14:paraId="10A73542">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产品名称</w:t>
            </w:r>
          </w:p>
        </w:tc>
        <w:tc>
          <w:tcPr>
            <w:tcW w:w="1308" w:type="dxa"/>
            <w:vMerge w:val="restart"/>
            <w:tcBorders>
              <w:top w:val="single" w:color="000000" w:sz="8" w:space="0"/>
              <w:left w:val="nil"/>
              <w:bottom w:val="single" w:color="000000" w:sz="8" w:space="0"/>
              <w:right w:val="single" w:color="000000" w:sz="8" w:space="0"/>
            </w:tcBorders>
            <w:shd w:val="clear" w:color="auto" w:fill="BFBFBF"/>
            <w:vAlign w:val="center"/>
          </w:tcPr>
          <w:p w14:paraId="15829D3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品牌</w:t>
            </w:r>
          </w:p>
        </w:tc>
        <w:tc>
          <w:tcPr>
            <w:tcW w:w="3336" w:type="dxa"/>
            <w:vMerge w:val="restart"/>
            <w:tcBorders>
              <w:top w:val="single" w:color="000000" w:sz="8" w:space="0"/>
              <w:left w:val="nil"/>
              <w:bottom w:val="single" w:color="000000" w:sz="8" w:space="0"/>
              <w:right w:val="single" w:color="000000" w:sz="8" w:space="0"/>
            </w:tcBorders>
            <w:shd w:val="clear" w:color="auto" w:fill="BFBFBF"/>
            <w:vAlign w:val="center"/>
          </w:tcPr>
          <w:p w14:paraId="5743B2E6">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规格型号</w:t>
            </w:r>
          </w:p>
        </w:tc>
        <w:tc>
          <w:tcPr>
            <w:tcW w:w="1375" w:type="dxa"/>
            <w:vMerge w:val="restart"/>
            <w:tcBorders>
              <w:top w:val="single" w:color="000000" w:sz="8" w:space="0"/>
              <w:left w:val="nil"/>
              <w:bottom w:val="single" w:color="000000" w:sz="8" w:space="0"/>
              <w:right w:val="single" w:color="000000" w:sz="8" w:space="0"/>
            </w:tcBorders>
            <w:shd w:val="clear" w:color="auto" w:fill="BFBFBF"/>
            <w:vAlign w:val="center"/>
          </w:tcPr>
          <w:p w14:paraId="25274B6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r>
      <w:tr w14:paraId="229CF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vMerge w:val="continue"/>
            <w:tcBorders>
              <w:top w:val="single" w:color="000000" w:sz="8" w:space="0"/>
              <w:left w:val="single" w:color="000000" w:sz="8" w:space="0"/>
              <w:bottom w:val="single" w:color="000000" w:sz="8" w:space="0"/>
              <w:right w:val="single" w:color="000000" w:sz="8" w:space="0"/>
            </w:tcBorders>
            <w:shd w:val="clear" w:color="auto" w:fill="BFBFBF"/>
            <w:vAlign w:val="center"/>
          </w:tcPr>
          <w:p w14:paraId="0A971EFB">
            <w:pPr>
              <w:jc w:val="center"/>
              <w:rPr>
                <w:rFonts w:hint="eastAsia" w:ascii="仿宋" w:hAnsi="仿宋" w:eastAsia="仿宋" w:cs="仿宋"/>
                <w:b/>
                <w:bCs/>
                <w:i w:val="0"/>
                <w:iCs w:val="0"/>
                <w:color w:val="000000"/>
                <w:sz w:val="24"/>
                <w:szCs w:val="24"/>
                <w:u w:val="none"/>
              </w:rPr>
            </w:pPr>
          </w:p>
        </w:tc>
        <w:tc>
          <w:tcPr>
            <w:tcW w:w="1704" w:type="dxa"/>
            <w:vMerge w:val="continue"/>
            <w:tcBorders>
              <w:top w:val="single" w:color="000000" w:sz="8" w:space="0"/>
              <w:left w:val="nil"/>
              <w:bottom w:val="single" w:color="000000" w:sz="8" w:space="0"/>
              <w:right w:val="single" w:color="000000" w:sz="8" w:space="0"/>
            </w:tcBorders>
            <w:shd w:val="clear" w:color="auto" w:fill="BFBFBF"/>
            <w:vAlign w:val="center"/>
          </w:tcPr>
          <w:p w14:paraId="39487E2E">
            <w:pPr>
              <w:jc w:val="center"/>
              <w:rPr>
                <w:rFonts w:hint="eastAsia" w:ascii="仿宋" w:hAnsi="仿宋" w:eastAsia="仿宋" w:cs="仿宋"/>
                <w:b/>
                <w:bCs/>
                <w:i w:val="0"/>
                <w:iCs w:val="0"/>
                <w:color w:val="000000"/>
                <w:sz w:val="24"/>
                <w:szCs w:val="24"/>
                <w:u w:val="none"/>
              </w:rPr>
            </w:pPr>
          </w:p>
        </w:tc>
        <w:tc>
          <w:tcPr>
            <w:tcW w:w="1308" w:type="dxa"/>
            <w:vMerge w:val="continue"/>
            <w:tcBorders>
              <w:top w:val="single" w:color="000000" w:sz="8" w:space="0"/>
              <w:left w:val="nil"/>
              <w:bottom w:val="single" w:color="000000" w:sz="8" w:space="0"/>
              <w:right w:val="single" w:color="000000" w:sz="8" w:space="0"/>
            </w:tcBorders>
            <w:shd w:val="clear" w:color="auto" w:fill="BFBFBF"/>
            <w:vAlign w:val="center"/>
          </w:tcPr>
          <w:p w14:paraId="7C999556">
            <w:pPr>
              <w:jc w:val="center"/>
              <w:rPr>
                <w:rFonts w:hint="eastAsia" w:ascii="仿宋" w:hAnsi="仿宋" w:eastAsia="仿宋" w:cs="仿宋"/>
                <w:b/>
                <w:bCs/>
                <w:i w:val="0"/>
                <w:iCs w:val="0"/>
                <w:color w:val="000000"/>
                <w:sz w:val="24"/>
                <w:szCs w:val="24"/>
                <w:u w:val="none"/>
              </w:rPr>
            </w:pPr>
          </w:p>
        </w:tc>
        <w:tc>
          <w:tcPr>
            <w:tcW w:w="3336" w:type="dxa"/>
            <w:vMerge w:val="continue"/>
            <w:tcBorders>
              <w:top w:val="single" w:color="000000" w:sz="8" w:space="0"/>
              <w:left w:val="nil"/>
              <w:bottom w:val="single" w:color="000000" w:sz="8" w:space="0"/>
              <w:right w:val="single" w:color="000000" w:sz="8" w:space="0"/>
            </w:tcBorders>
            <w:shd w:val="clear" w:color="auto" w:fill="BFBFBF"/>
            <w:vAlign w:val="center"/>
          </w:tcPr>
          <w:p w14:paraId="40A64441">
            <w:pPr>
              <w:jc w:val="center"/>
              <w:rPr>
                <w:rFonts w:hint="eastAsia" w:ascii="仿宋" w:hAnsi="仿宋" w:eastAsia="仿宋" w:cs="仿宋"/>
                <w:b/>
                <w:bCs/>
                <w:i w:val="0"/>
                <w:iCs w:val="0"/>
                <w:color w:val="000000"/>
                <w:sz w:val="24"/>
                <w:szCs w:val="24"/>
                <w:u w:val="none"/>
              </w:rPr>
            </w:pPr>
          </w:p>
        </w:tc>
        <w:tc>
          <w:tcPr>
            <w:tcW w:w="1375" w:type="dxa"/>
            <w:vMerge w:val="continue"/>
            <w:tcBorders>
              <w:top w:val="single" w:color="000000" w:sz="8" w:space="0"/>
              <w:left w:val="nil"/>
              <w:bottom w:val="single" w:color="000000" w:sz="8" w:space="0"/>
              <w:right w:val="single" w:color="000000" w:sz="8" w:space="0"/>
            </w:tcBorders>
            <w:shd w:val="clear" w:color="auto" w:fill="BFBFBF"/>
            <w:vAlign w:val="center"/>
          </w:tcPr>
          <w:p w14:paraId="2507B7D0">
            <w:pPr>
              <w:jc w:val="center"/>
              <w:rPr>
                <w:rFonts w:hint="eastAsia" w:ascii="仿宋" w:hAnsi="仿宋" w:eastAsia="仿宋" w:cs="仿宋"/>
                <w:b/>
                <w:bCs/>
                <w:i w:val="0"/>
                <w:iCs w:val="0"/>
                <w:color w:val="000000"/>
                <w:sz w:val="24"/>
                <w:szCs w:val="24"/>
                <w:u w:val="none"/>
              </w:rPr>
            </w:pPr>
          </w:p>
        </w:tc>
      </w:tr>
      <w:tr w14:paraId="386A2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412478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704" w:type="dxa"/>
            <w:vMerge w:val="restart"/>
            <w:tcBorders>
              <w:top w:val="nil"/>
              <w:left w:val="nil"/>
              <w:bottom w:val="single" w:color="000000" w:sz="8" w:space="0"/>
              <w:right w:val="single" w:color="000000" w:sz="8" w:space="0"/>
            </w:tcBorders>
            <w:shd w:val="clear" w:color="auto" w:fill="auto"/>
            <w:vAlign w:val="center"/>
          </w:tcPr>
          <w:p w14:paraId="79F8A6D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核心交换机</w:t>
            </w:r>
          </w:p>
        </w:tc>
        <w:tc>
          <w:tcPr>
            <w:tcW w:w="1308" w:type="dxa"/>
            <w:vMerge w:val="restart"/>
            <w:tcBorders>
              <w:top w:val="nil"/>
              <w:left w:val="nil"/>
              <w:bottom w:val="single" w:color="000000" w:sz="8" w:space="0"/>
              <w:right w:val="single" w:color="000000" w:sz="8" w:space="0"/>
            </w:tcBorders>
            <w:shd w:val="clear" w:color="auto" w:fill="auto"/>
            <w:vAlign w:val="center"/>
          </w:tcPr>
          <w:p w14:paraId="3663549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0AB0A25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LS-7510E-X</w:t>
            </w:r>
          </w:p>
        </w:tc>
        <w:tc>
          <w:tcPr>
            <w:tcW w:w="1375" w:type="dxa"/>
            <w:tcBorders>
              <w:top w:val="nil"/>
              <w:left w:val="nil"/>
              <w:bottom w:val="single" w:color="000000" w:sz="8" w:space="0"/>
              <w:right w:val="single" w:color="000000" w:sz="8" w:space="0"/>
            </w:tcBorders>
            <w:shd w:val="clear" w:color="auto" w:fill="auto"/>
            <w:vAlign w:val="center"/>
          </w:tcPr>
          <w:p w14:paraId="23EF3DD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24813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73CDD6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704" w:type="dxa"/>
            <w:vMerge w:val="continue"/>
            <w:tcBorders>
              <w:top w:val="nil"/>
              <w:left w:val="nil"/>
              <w:bottom w:val="single" w:color="000000" w:sz="8" w:space="0"/>
              <w:right w:val="single" w:color="000000" w:sz="8" w:space="0"/>
            </w:tcBorders>
            <w:shd w:val="clear" w:color="auto" w:fill="auto"/>
            <w:vAlign w:val="center"/>
          </w:tcPr>
          <w:p w14:paraId="4FEF8A56">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72F9627F">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2433643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LSUM1AC2500</w:t>
            </w:r>
          </w:p>
        </w:tc>
        <w:tc>
          <w:tcPr>
            <w:tcW w:w="1375" w:type="dxa"/>
            <w:tcBorders>
              <w:top w:val="nil"/>
              <w:left w:val="nil"/>
              <w:bottom w:val="single" w:color="000000" w:sz="8" w:space="0"/>
              <w:right w:val="single" w:color="000000" w:sz="8" w:space="0"/>
            </w:tcBorders>
            <w:shd w:val="clear" w:color="auto" w:fill="auto"/>
            <w:vAlign w:val="center"/>
          </w:tcPr>
          <w:p w14:paraId="4F803D0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r>
      <w:tr w14:paraId="5A32C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D63FC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1704" w:type="dxa"/>
            <w:vMerge w:val="continue"/>
            <w:tcBorders>
              <w:top w:val="nil"/>
              <w:left w:val="nil"/>
              <w:bottom w:val="single" w:color="000000" w:sz="8" w:space="0"/>
              <w:right w:val="single" w:color="000000" w:sz="8" w:space="0"/>
            </w:tcBorders>
            <w:shd w:val="clear" w:color="auto" w:fill="auto"/>
            <w:vAlign w:val="center"/>
          </w:tcPr>
          <w:p w14:paraId="3909480E">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2EE3F38A">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79EF47A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LSQM1MPU10C0</w:t>
            </w:r>
          </w:p>
        </w:tc>
        <w:tc>
          <w:tcPr>
            <w:tcW w:w="1375" w:type="dxa"/>
            <w:tcBorders>
              <w:top w:val="nil"/>
              <w:left w:val="nil"/>
              <w:bottom w:val="single" w:color="000000" w:sz="8" w:space="0"/>
              <w:right w:val="single" w:color="000000" w:sz="8" w:space="0"/>
            </w:tcBorders>
            <w:shd w:val="clear" w:color="auto" w:fill="auto"/>
            <w:vAlign w:val="center"/>
          </w:tcPr>
          <w:p w14:paraId="624B1EA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r>
      <w:tr w14:paraId="2A629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1C36E0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1704" w:type="dxa"/>
            <w:vMerge w:val="continue"/>
            <w:tcBorders>
              <w:top w:val="nil"/>
              <w:left w:val="nil"/>
              <w:bottom w:val="single" w:color="000000" w:sz="8" w:space="0"/>
              <w:right w:val="single" w:color="000000" w:sz="8" w:space="0"/>
            </w:tcBorders>
            <w:shd w:val="clear" w:color="auto" w:fill="auto"/>
            <w:vAlign w:val="center"/>
          </w:tcPr>
          <w:p w14:paraId="0BAE7B90">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05B53E6B">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7854D61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LSQM1FAB10C0</w:t>
            </w:r>
          </w:p>
        </w:tc>
        <w:tc>
          <w:tcPr>
            <w:tcW w:w="1375" w:type="dxa"/>
            <w:tcBorders>
              <w:top w:val="nil"/>
              <w:left w:val="nil"/>
              <w:bottom w:val="single" w:color="000000" w:sz="8" w:space="0"/>
              <w:right w:val="single" w:color="000000" w:sz="8" w:space="0"/>
            </w:tcBorders>
            <w:shd w:val="clear" w:color="auto" w:fill="auto"/>
            <w:vAlign w:val="center"/>
          </w:tcPr>
          <w:p w14:paraId="5187998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134CB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C9AF90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1704" w:type="dxa"/>
            <w:vMerge w:val="continue"/>
            <w:tcBorders>
              <w:top w:val="nil"/>
              <w:left w:val="nil"/>
              <w:bottom w:val="single" w:color="000000" w:sz="8" w:space="0"/>
              <w:right w:val="single" w:color="000000" w:sz="8" w:space="0"/>
            </w:tcBorders>
            <w:shd w:val="clear" w:color="auto" w:fill="auto"/>
            <w:vAlign w:val="center"/>
          </w:tcPr>
          <w:p w14:paraId="63DDBBE0">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07B125F8">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60E190D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LSQM1TGS16XFD0</w:t>
            </w:r>
          </w:p>
        </w:tc>
        <w:tc>
          <w:tcPr>
            <w:tcW w:w="1375" w:type="dxa"/>
            <w:tcBorders>
              <w:top w:val="nil"/>
              <w:left w:val="nil"/>
              <w:bottom w:val="single" w:color="000000" w:sz="8" w:space="0"/>
              <w:right w:val="single" w:color="000000" w:sz="8" w:space="0"/>
            </w:tcBorders>
            <w:shd w:val="clear" w:color="auto" w:fill="auto"/>
            <w:vAlign w:val="center"/>
          </w:tcPr>
          <w:p w14:paraId="40D70AD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05C9B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729D72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1704" w:type="dxa"/>
            <w:vMerge w:val="continue"/>
            <w:tcBorders>
              <w:top w:val="nil"/>
              <w:left w:val="nil"/>
              <w:bottom w:val="single" w:color="000000" w:sz="8" w:space="0"/>
              <w:right w:val="single" w:color="000000" w:sz="8" w:space="0"/>
            </w:tcBorders>
            <w:shd w:val="clear" w:color="auto" w:fill="auto"/>
            <w:vAlign w:val="center"/>
          </w:tcPr>
          <w:p w14:paraId="3A3AEA6E">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09C724D">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0F80CC5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LSQM2QGS12XSG0</w:t>
            </w:r>
          </w:p>
        </w:tc>
        <w:tc>
          <w:tcPr>
            <w:tcW w:w="1375" w:type="dxa"/>
            <w:tcBorders>
              <w:top w:val="nil"/>
              <w:left w:val="nil"/>
              <w:bottom w:val="single" w:color="000000" w:sz="8" w:space="0"/>
              <w:right w:val="single" w:color="000000" w:sz="8" w:space="0"/>
            </w:tcBorders>
            <w:shd w:val="clear" w:color="auto" w:fill="auto"/>
            <w:vAlign w:val="center"/>
          </w:tcPr>
          <w:p w14:paraId="261152C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3856F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42091D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704" w:type="dxa"/>
            <w:vMerge w:val="continue"/>
            <w:tcBorders>
              <w:top w:val="nil"/>
              <w:left w:val="nil"/>
              <w:bottom w:val="single" w:color="000000" w:sz="8" w:space="0"/>
              <w:right w:val="single" w:color="000000" w:sz="8" w:space="0"/>
            </w:tcBorders>
            <w:shd w:val="clear" w:color="auto" w:fill="auto"/>
            <w:vAlign w:val="center"/>
          </w:tcPr>
          <w:p w14:paraId="716FB894">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2194F17A">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2D3A50B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LSWM1QSTK1</w:t>
            </w:r>
          </w:p>
        </w:tc>
        <w:tc>
          <w:tcPr>
            <w:tcW w:w="1375" w:type="dxa"/>
            <w:tcBorders>
              <w:top w:val="nil"/>
              <w:left w:val="nil"/>
              <w:bottom w:val="single" w:color="000000" w:sz="8" w:space="0"/>
              <w:right w:val="single" w:color="000000" w:sz="8" w:space="0"/>
            </w:tcBorders>
            <w:shd w:val="clear" w:color="auto" w:fill="auto"/>
            <w:vAlign w:val="center"/>
          </w:tcPr>
          <w:p w14:paraId="753252C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7D32E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A616A5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1704" w:type="dxa"/>
            <w:vMerge w:val="restart"/>
            <w:tcBorders>
              <w:top w:val="nil"/>
              <w:left w:val="nil"/>
              <w:bottom w:val="single" w:color="000000" w:sz="8" w:space="0"/>
              <w:right w:val="single" w:color="000000" w:sz="8" w:space="0"/>
            </w:tcBorders>
            <w:shd w:val="clear" w:color="auto" w:fill="auto"/>
            <w:vAlign w:val="center"/>
          </w:tcPr>
          <w:p w14:paraId="4B980F1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汇聚交换机</w:t>
            </w:r>
          </w:p>
        </w:tc>
        <w:tc>
          <w:tcPr>
            <w:tcW w:w="1308" w:type="dxa"/>
            <w:vMerge w:val="restart"/>
            <w:tcBorders>
              <w:top w:val="nil"/>
              <w:left w:val="nil"/>
              <w:bottom w:val="single" w:color="000000" w:sz="8" w:space="0"/>
              <w:right w:val="single" w:color="000000" w:sz="8" w:space="0"/>
            </w:tcBorders>
            <w:shd w:val="clear" w:color="auto" w:fill="auto"/>
            <w:vAlign w:val="center"/>
          </w:tcPr>
          <w:p w14:paraId="42EFE7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76FAE2D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LS-6800-4C</w:t>
            </w:r>
          </w:p>
        </w:tc>
        <w:tc>
          <w:tcPr>
            <w:tcW w:w="1375" w:type="dxa"/>
            <w:tcBorders>
              <w:top w:val="nil"/>
              <w:left w:val="nil"/>
              <w:bottom w:val="single" w:color="000000" w:sz="8" w:space="0"/>
              <w:right w:val="single" w:color="000000" w:sz="8" w:space="0"/>
            </w:tcBorders>
            <w:shd w:val="clear" w:color="auto" w:fill="auto"/>
            <w:vAlign w:val="center"/>
          </w:tcPr>
          <w:p w14:paraId="3660AB1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14:paraId="7A2F4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380A1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704" w:type="dxa"/>
            <w:vMerge w:val="continue"/>
            <w:tcBorders>
              <w:top w:val="nil"/>
              <w:left w:val="nil"/>
              <w:bottom w:val="single" w:color="000000" w:sz="8" w:space="0"/>
              <w:right w:val="single" w:color="000000" w:sz="8" w:space="0"/>
            </w:tcBorders>
            <w:shd w:val="clear" w:color="auto" w:fill="auto"/>
            <w:vAlign w:val="center"/>
          </w:tcPr>
          <w:p w14:paraId="73614A50">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2040E79A">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04B3E6C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LSVM1AC650</w:t>
            </w:r>
          </w:p>
        </w:tc>
        <w:tc>
          <w:tcPr>
            <w:tcW w:w="1375" w:type="dxa"/>
            <w:tcBorders>
              <w:top w:val="nil"/>
              <w:left w:val="nil"/>
              <w:bottom w:val="single" w:color="000000" w:sz="8" w:space="0"/>
              <w:right w:val="single" w:color="000000" w:sz="8" w:space="0"/>
            </w:tcBorders>
            <w:shd w:val="clear" w:color="auto" w:fill="auto"/>
            <w:vAlign w:val="center"/>
          </w:tcPr>
          <w:p w14:paraId="0771896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r>
      <w:tr w14:paraId="3E069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4F1C5E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1704" w:type="dxa"/>
            <w:vMerge w:val="continue"/>
            <w:tcBorders>
              <w:top w:val="nil"/>
              <w:left w:val="nil"/>
              <w:bottom w:val="single" w:color="000000" w:sz="8" w:space="0"/>
              <w:right w:val="single" w:color="000000" w:sz="8" w:space="0"/>
            </w:tcBorders>
            <w:shd w:val="clear" w:color="auto" w:fill="auto"/>
            <w:vAlign w:val="center"/>
          </w:tcPr>
          <w:p w14:paraId="27D68715">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56666402">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648CDB4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LSWM124XG2Q</w:t>
            </w:r>
          </w:p>
        </w:tc>
        <w:tc>
          <w:tcPr>
            <w:tcW w:w="1375" w:type="dxa"/>
            <w:tcBorders>
              <w:top w:val="nil"/>
              <w:left w:val="nil"/>
              <w:bottom w:val="single" w:color="000000" w:sz="8" w:space="0"/>
              <w:right w:val="single" w:color="000000" w:sz="8" w:space="0"/>
            </w:tcBorders>
            <w:shd w:val="clear" w:color="auto" w:fill="auto"/>
            <w:vAlign w:val="center"/>
          </w:tcPr>
          <w:p w14:paraId="308170E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r>
      <w:tr w14:paraId="0CA53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026843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1704" w:type="dxa"/>
            <w:vMerge w:val="continue"/>
            <w:tcBorders>
              <w:top w:val="nil"/>
              <w:left w:val="nil"/>
              <w:bottom w:val="single" w:color="000000" w:sz="8" w:space="0"/>
              <w:right w:val="single" w:color="000000" w:sz="8" w:space="0"/>
            </w:tcBorders>
            <w:shd w:val="clear" w:color="auto" w:fill="auto"/>
            <w:vAlign w:val="center"/>
          </w:tcPr>
          <w:p w14:paraId="10D97DAB">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6E2BE04E">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35DD41A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LSWM1BFANSCB</w:t>
            </w:r>
          </w:p>
        </w:tc>
        <w:tc>
          <w:tcPr>
            <w:tcW w:w="1375" w:type="dxa"/>
            <w:tcBorders>
              <w:top w:val="nil"/>
              <w:left w:val="nil"/>
              <w:bottom w:val="single" w:color="000000" w:sz="8" w:space="0"/>
              <w:right w:val="single" w:color="000000" w:sz="8" w:space="0"/>
            </w:tcBorders>
            <w:shd w:val="clear" w:color="auto" w:fill="auto"/>
            <w:vAlign w:val="center"/>
          </w:tcPr>
          <w:p w14:paraId="6802DDA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r>
      <w:tr w14:paraId="76A01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C512BB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1704" w:type="dxa"/>
            <w:tcBorders>
              <w:top w:val="nil"/>
              <w:left w:val="nil"/>
              <w:bottom w:val="single" w:color="000000" w:sz="8" w:space="0"/>
              <w:right w:val="single" w:color="000000" w:sz="8" w:space="0"/>
            </w:tcBorders>
            <w:shd w:val="clear" w:color="auto" w:fill="auto"/>
            <w:vAlign w:val="center"/>
          </w:tcPr>
          <w:p w14:paraId="0C44156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48口接入交换机</w:t>
            </w:r>
          </w:p>
        </w:tc>
        <w:tc>
          <w:tcPr>
            <w:tcW w:w="1308" w:type="dxa"/>
            <w:tcBorders>
              <w:top w:val="nil"/>
              <w:left w:val="nil"/>
              <w:bottom w:val="single" w:color="000000" w:sz="8" w:space="0"/>
              <w:right w:val="single" w:color="000000" w:sz="8" w:space="0"/>
            </w:tcBorders>
            <w:shd w:val="clear" w:color="auto" w:fill="auto"/>
            <w:vAlign w:val="center"/>
          </w:tcPr>
          <w:p w14:paraId="06DF0B9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7E6E107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LS-5130-52TP-EI</w:t>
            </w:r>
          </w:p>
        </w:tc>
        <w:tc>
          <w:tcPr>
            <w:tcW w:w="1375" w:type="dxa"/>
            <w:tcBorders>
              <w:top w:val="nil"/>
              <w:left w:val="nil"/>
              <w:bottom w:val="single" w:color="000000" w:sz="8" w:space="0"/>
              <w:right w:val="single" w:color="000000" w:sz="8" w:space="0"/>
            </w:tcBorders>
            <w:shd w:val="clear" w:color="auto" w:fill="auto"/>
            <w:vAlign w:val="center"/>
          </w:tcPr>
          <w:p w14:paraId="558A090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78</w:t>
            </w:r>
          </w:p>
        </w:tc>
      </w:tr>
      <w:tr w14:paraId="54B53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8E7A62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1704" w:type="dxa"/>
            <w:vMerge w:val="restart"/>
            <w:tcBorders>
              <w:top w:val="nil"/>
              <w:left w:val="nil"/>
              <w:bottom w:val="single" w:color="000000" w:sz="8" w:space="0"/>
              <w:right w:val="single" w:color="000000" w:sz="8" w:space="0"/>
            </w:tcBorders>
            <w:shd w:val="clear" w:color="auto" w:fill="auto"/>
            <w:vAlign w:val="center"/>
          </w:tcPr>
          <w:p w14:paraId="58AB64F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数据中心交换机</w:t>
            </w:r>
          </w:p>
        </w:tc>
        <w:tc>
          <w:tcPr>
            <w:tcW w:w="1308" w:type="dxa"/>
            <w:vMerge w:val="restart"/>
            <w:tcBorders>
              <w:top w:val="nil"/>
              <w:left w:val="nil"/>
              <w:bottom w:val="single" w:color="000000" w:sz="8" w:space="0"/>
              <w:right w:val="single" w:color="000000" w:sz="8" w:space="0"/>
            </w:tcBorders>
            <w:shd w:val="clear" w:color="auto" w:fill="auto"/>
            <w:vAlign w:val="center"/>
          </w:tcPr>
          <w:p w14:paraId="653CB6F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1D0DBBB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LS-7506E-X</w:t>
            </w:r>
          </w:p>
        </w:tc>
        <w:tc>
          <w:tcPr>
            <w:tcW w:w="1375" w:type="dxa"/>
            <w:tcBorders>
              <w:top w:val="nil"/>
              <w:left w:val="nil"/>
              <w:bottom w:val="single" w:color="000000" w:sz="8" w:space="0"/>
              <w:right w:val="single" w:color="000000" w:sz="8" w:space="0"/>
            </w:tcBorders>
            <w:shd w:val="clear" w:color="auto" w:fill="auto"/>
            <w:vAlign w:val="center"/>
          </w:tcPr>
          <w:p w14:paraId="72A07D7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7142C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7453CD4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1704" w:type="dxa"/>
            <w:vMerge w:val="continue"/>
            <w:tcBorders>
              <w:top w:val="nil"/>
              <w:left w:val="nil"/>
              <w:bottom w:val="single" w:color="000000" w:sz="8" w:space="0"/>
              <w:right w:val="single" w:color="000000" w:sz="8" w:space="0"/>
            </w:tcBorders>
            <w:shd w:val="clear" w:color="auto" w:fill="auto"/>
            <w:vAlign w:val="center"/>
          </w:tcPr>
          <w:p w14:paraId="06668BC3">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EA98BD8">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4C9CFC2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LSUM1AC2500</w:t>
            </w:r>
          </w:p>
        </w:tc>
        <w:tc>
          <w:tcPr>
            <w:tcW w:w="1375" w:type="dxa"/>
            <w:tcBorders>
              <w:top w:val="nil"/>
              <w:left w:val="nil"/>
              <w:bottom w:val="single" w:color="000000" w:sz="8" w:space="0"/>
              <w:right w:val="single" w:color="000000" w:sz="8" w:space="0"/>
            </w:tcBorders>
            <w:shd w:val="clear" w:color="auto" w:fill="auto"/>
            <w:vAlign w:val="center"/>
          </w:tcPr>
          <w:p w14:paraId="62895DB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r>
      <w:tr w14:paraId="1D69E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D94285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1704" w:type="dxa"/>
            <w:vMerge w:val="continue"/>
            <w:tcBorders>
              <w:top w:val="nil"/>
              <w:left w:val="nil"/>
              <w:bottom w:val="single" w:color="000000" w:sz="8" w:space="0"/>
              <w:right w:val="single" w:color="000000" w:sz="8" w:space="0"/>
            </w:tcBorders>
            <w:shd w:val="clear" w:color="auto" w:fill="auto"/>
            <w:vAlign w:val="center"/>
          </w:tcPr>
          <w:p w14:paraId="154367CC">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7F3C5E74">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0ECCCAB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LSQM1MPU06B0</w:t>
            </w:r>
          </w:p>
        </w:tc>
        <w:tc>
          <w:tcPr>
            <w:tcW w:w="1375" w:type="dxa"/>
            <w:tcBorders>
              <w:top w:val="nil"/>
              <w:left w:val="nil"/>
              <w:bottom w:val="single" w:color="000000" w:sz="8" w:space="0"/>
              <w:right w:val="single" w:color="000000" w:sz="8" w:space="0"/>
            </w:tcBorders>
            <w:shd w:val="clear" w:color="auto" w:fill="auto"/>
            <w:vAlign w:val="center"/>
          </w:tcPr>
          <w:p w14:paraId="246D17F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r>
      <w:tr w14:paraId="290B3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108EE7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1704" w:type="dxa"/>
            <w:vMerge w:val="continue"/>
            <w:tcBorders>
              <w:top w:val="nil"/>
              <w:left w:val="nil"/>
              <w:bottom w:val="single" w:color="000000" w:sz="8" w:space="0"/>
              <w:right w:val="single" w:color="000000" w:sz="8" w:space="0"/>
            </w:tcBorders>
            <w:shd w:val="clear" w:color="auto" w:fill="auto"/>
            <w:vAlign w:val="center"/>
          </w:tcPr>
          <w:p w14:paraId="13C9616A">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4FDC8D68">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1D004E3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LSQM1FAB06C0</w:t>
            </w:r>
          </w:p>
        </w:tc>
        <w:tc>
          <w:tcPr>
            <w:tcW w:w="1375" w:type="dxa"/>
            <w:tcBorders>
              <w:top w:val="nil"/>
              <w:left w:val="nil"/>
              <w:bottom w:val="single" w:color="000000" w:sz="8" w:space="0"/>
              <w:right w:val="single" w:color="000000" w:sz="8" w:space="0"/>
            </w:tcBorders>
            <w:shd w:val="clear" w:color="auto" w:fill="auto"/>
            <w:vAlign w:val="center"/>
          </w:tcPr>
          <w:p w14:paraId="12C1818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386E4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4820E1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1704" w:type="dxa"/>
            <w:vMerge w:val="continue"/>
            <w:tcBorders>
              <w:top w:val="nil"/>
              <w:left w:val="nil"/>
              <w:bottom w:val="single" w:color="000000" w:sz="8" w:space="0"/>
              <w:right w:val="single" w:color="000000" w:sz="8" w:space="0"/>
            </w:tcBorders>
            <w:shd w:val="clear" w:color="auto" w:fill="auto"/>
            <w:vAlign w:val="center"/>
          </w:tcPr>
          <w:p w14:paraId="3882E61A">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40A1C8F7">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1A3B1CD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LSQM2TGS32QSXSG0</w:t>
            </w:r>
          </w:p>
        </w:tc>
        <w:tc>
          <w:tcPr>
            <w:tcW w:w="1375" w:type="dxa"/>
            <w:tcBorders>
              <w:top w:val="nil"/>
              <w:left w:val="nil"/>
              <w:bottom w:val="single" w:color="000000" w:sz="8" w:space="0"/>
              <w:right w:val="single" w:color="000000" w:sz="8" w:space="0"/>
            </w:tcBorders>
            <w:shd w:val="clear" w:color="auto" w:fill="auto"/>
            <w:vAlign w:val="center"/>
          </w:tcPr>
          <w:p w14:paraId="1D05877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7572A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536831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1704" w:type="dxa"/>
            <w:vMerge w:val="continue"/>
            <w:tcBorders>
              <w:top w:val="nil"/>
              <w:left w:val="nil"/>
              <w:bottom w:val="single" w:color="000000" w:sz="8" w:space="0"/>
              <w:right w:val="single" w:color="000000" w:sz="8" w:space="0"/>
            </w:tcBorders>
            <w:shd w:val="clear" w:color="auto" w:fill="auto"/>
            <w:vAlign w:val="center"/>
          </w:tcPr>
          <w:p w14:paraId="36FF9652">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38A5DCD5">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1E8B6CB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LSWM1QSTK1</w:t>
            </w:r>
          </w:p>
        </w:tc>
        <w:tc>
          <w:tcPr>
            <w:tcW w:w="1375" w:type="dxa"/>
            <w:tcBorders>
              <w:top w:val="nil"/>
              <w:left w:val="nil"/>
              <w:bottom w:val="single" w:color="000000" w:sz="8" w:space="0"/>
              <w:right w:val="single" w:color="000000" w:sz="8" w:space="0"/>
            </w:tcBorders>
            <w:shd w:val="clear" w:color="auto" w:fill="auto"/>
            <w:vAlign w:val="center"/>
          </w:tcPr>
          <w:p w14:paraId="52D062A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472C5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527790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1704" w:type="dxa"/>
            <w:vMerge w:val="continue"/>
            <w:tcBorders>
              <w:top w:val="nil"/>
              <w:left w:val="nil"/>
              <w:bottom w:val="single" w:color="000000" w:sz="8" w:space="0"/>
              <w:right w:val="single" w:color="000000" w:sz="8" w:space="0"/>
            </w:tcBorders>
            <w:shd w:val="clear" w:color="auto" w:fill="auto"/>
            <w:vAlign w:val="center"/>
          </w:tcPr>
          <w:p w14:paraId="0C209AA9">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8579827">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527DCAF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LSQM1GT48FD0</w:t>
            </w:r>
          </w:p>
        </w:tc>
        <w:tc>
          <w:tcPr>
            <w:tcW w:w="1375" w:type="dxa"/>
            <w:tcBorders>
              <w:top w:val="nil"/>
              <w:left w:val="nil"/>
              <w:bottom w:val="single" w:color="000000" w:sz="8" w:space="0"/>
              <w:right w:val="single" w:color="000000" w:sz="8" w:space="0"/>
            </w:tcBorders>
            <w:shd w:val="clear" w:color="auto" w:fill="auto"/>
            <w:vAlign w:val="center"/>
          </w:tcPr>
          <w:p w14:paraId="7D1E462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7939A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513A56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1704" w:type="dxa"/>
            <w:vMerge w:val="restart"/>
            <w:tcBorders>
              <w:top w:val="nil"/>
              <w:left w:val="nil"/>
              <w:bottom w:val="single" w:color="000000" w:sz="8" w:space="0"/>
              <w:right w:val="single" w:color="000000" w:sz="8" w:space="0"/>
            </w:tcBorders>
            <w:shd w:val="clear" w:color="auto" w:fill="auto"/>
            <w:vAlign w:val="center"/>
          </w:tcPr>
          <w:p w14:paraId="2A114C8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SDN控制器</w:t>
            </w:r>
          </w:p>
        </w:tc>
        <w:tc>
          <w:tcPr>
            <w:tcW w:w="1308" w:type="dxa"/>
            <w:vMerge w:val="restart"/>
            <w:tcBorders>
              <w:top w:val="nil"/>
              <w:left w:val="nil"/>
              <w:bottom w:val="single" w:color="000000" w:sz="8" w:space="0"/>
              <w:right w:val="single" w:color="000000" w:sz="8" w:space="0"/>
            </w:tcBorders>
            <w:shd w:val="clear" w:color="auto" w:fill="auto"/>
            <w:vAlign w:val="center"/>
          </w:tcPr>
          <w:p w14:paraId="08928D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559A156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SWP-DR2000-ADCAM</w:t>
            </w:r>
          </w:p>
        </w:tc>
        <w:tc>
          <w:tcPr>
            <w:tcW w:w="1375" w:type="dxa"/>
            <w:tcBorders>
              <w:top w:val="nil"/>
              <w:left w:val="nil"/>
              <w:bottom w:val="single" w:color="000000" w:sz="8" w:space="0"/>
              <w:right w:val="single" w:color="000000" w:sz="8" w:space="0"/>
            </w:tcBorders>
            <w:shd w:val="clear" w:color="auto" w:fill="auto"/>
            <w:vAlign w:val="center"/>
          </w:tcPr>
          <w:p w14:paraId="1D5F31C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4778E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F24FEA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1704" w:type="dxa"/>
            <w:vMerge w:val="continue"/>
            <w:tcBorders>
              <w:top w:val="nil"/>
              <w:left w:val="nil"/>
              <w:bottom w:val="single" w:color="000000" w:sz="8" w:space="0"/>
              <w:right w:val="single" w:color="000000" w:sz="8" w:space="0"/>
            </w:tcBorders>
            <w:shd w:val="clear" w:color="auto" w:fill="auto"/>
            <w:vAlign w:val="center"/>
          </w:tcPr>
          <w:p w14:paraId="46708A15">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275D3774">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652B9F41">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SV-PS-ADCD-2</w:t>
            </w:r>
          </w:p>
        </w:tc>
        <w:tc>
          <w:tcPr>
            <w:tcW w:w="1375" w:type="dxa"/>
            <w:tcBorders>
              <w:top w:val="nil"/>
              <w:left w:val="nil"/>
              <w:bottom w:val="single" w:color="000000" w:sz="8" w:space="0"/>
              <w:right w:val="single" w:color="000000" w:sz="8" w:space="0"/>
            </w:tcBorders>
            <w:shd w:val="clear" w:color="auto" w:fill="auto"/>
            <w:vAlign w:val="center"/>
          </w:tcPr>
          <w:p w14:paraId="1477978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6CDA2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0E042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1704" w:type="dxa"/>
            <w:tcBorders>
              <w:top w:val="nil"/>
              <w:left w:val="nil"/>
              <w:bottom w:val="single" w:color="000000" w:sz="8" w:space="0"/>
              <w:right w:val="single" w:color="000000" w:sz="8" w:space="0"/>
            </w:tcBorders>
            <w:shd w:val="clear" w:color="auto" w:fill="auto"/>
            <w:vAlign w:val="center"/>
          </w:tcPr>
          <w:p w14:paraId="0E5D59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负载均衡</w:t>
            </w:r>
          </w:p>
        </w:tc>
        <w:tc>
          <w:tcPr>
            <w:tcW w:w="1308" w:type="dxa"/>
            <w:tcBorders>
              <w:top w:val="nil"/>
              <w:left w:val="nil"/>
              <w:bottom w:val="single" w:color="000000" w:sz="8" w:space="0"/>
              <w:right w:val="single" w:color="000000" w:sz="8" w:space="0"/>
            </w:tcBorders>
            <w:shd w:val="clear" w:color="auto" w:fill="auto"/>
            <w:vAlign w:val="center"/>
          </w:tcPr>
          <w:p w14:paraId="1955C58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7518DE0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NS-SecPath L1000-M</w:t>
            </w:r>
          </w:p>
        </w:tc>
        <w:tc>
          <w:tcPr>
            <w:tcW w:w="1375" w:type="dxa"/>
            <w:tcBorders>
              <w:top w:val="nil"/>
              <w:left w:val="nil"/>
              <w:bottom w:val="single" w:color="000000" w:sz="8" w:space="0"/>
              <w:right w:val="single" w:color="000000" w:sz="8" w:space="0"/>
            </w:tcBorders>
            <w:shd w:val="clear" w:color="auto" w:fill="auto"/>
            <w:vAlign w:val="center"/>
          </w:tcPr>
          <w:p w14:paraId="5EFA96B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65B47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AA46AE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1704" w:type="dxa"/>
            <w:tcBorders>
              <w:top w:val="nil"/>
              <w:left w:val="nil"/>
              <w:bottom w:val="single" w:color="000000" w:sz="8" w:space="0"/>
              <w:right w:val="single" w:color="000000" w:sz="8" w:space="0"/>
            </w:tcBorders>
            <w:shd w:val="clear" w:color="auto" w:fill="auto"/>
            <w:vAlign w:val="center"/>
          </w:tcPr>
          <w:p w14:paraId="74D345B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40G单模模块</w:t>
            </w:r>
          </w:p>
        </w:tc>
        <w:tc>
          <w:tcPr>
            <w:tcW w:w="1308" w:type="dxa"/>
            <w:tcBorders>
              <w:top w:val="nil"/>
              <w:left w:val="nil"/>
              <w:bottom w:val="single" w:color="000000" w:sz="8" w:space="0"/>
              <w:right w:val="single" w:color="000000" w:sz="8" w:space="0"/>
            </w:tcBorders>
            <w:shd w:val="clear" w:color="auto" w:fill="auto"/>
            <w:vAlign w:val="center"/>
          </w:tcPr>
          <w:p w14:paraId="019E7EA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423F0F4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QSFP-40G-LR4L-WDM1300</w:t>
            </w:r>
          </w:p>
        </w:tc>
        <w:tc>
          <w:tcPr>
            <w:tcW w:w="1375" w:type="dxa"/>
            <w:tcBorders>
              <w:top w:val="nil"/>
              <w:left w:val="nil"/>
              <w:bottom w:val="single" w:color="000000" w:sz="8" w:space="0"/>
              <w:right w:val="single" w:color="000000" w:sz="8" w:space="0"/>
            </w:tcBorders>
            <w:shd w:val="clear" w:color="auto" w:fill="auto"/>
            <w:vAlign w:val="center"/>
          </w:tcPr>
          <w:p w14:paraId="325E331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r>
      <w:tr w14:paraId="43104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10D9F1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1704" w:type="dxa"/>
            <w:tcBorders>
              <w:top w:val="nil"/>
              <w:left w:val="nil"/>
              <w:bottom w:val="single" w:color="000000" w:sz="8" w:space="0"/>
              <w:right w:val="single" w:color="000000" w:sz="8" w:space="0"/>
            </w:tcBorders>
            <w:shd w:val="clear" w:color="auto" w:fill="auto"/>
            <w:vAlign w:val="center"/>
          </w:tcPr>
          <w:p w14:paraId="1DE7E7E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万兆模块</w:t>
            </w:r>
          </w:p>
        </w:tc>
        <w:tc>
          <w:tcPr>
            <w:tcW w:w="1308" w:type="dxa"/>
            <w:tcBorders>
              <w:top w:val="nil"/>
              <w:left w:val="nil"/>
              <w:bottom w:val="single" w:color="000000" w:sz="8" w:space="0"/>
              <w:right w:val="single" w:color="000000" w:sz="8" w:space="0"/>
            </w:tcBorders>
            <w:shd w:val="clear" w:color="auto" w:fill="auto"/>
            <w:vAlign w:val="center"/>
          </w:tcPr>
          <w:p w14:paraId="6F6EF27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5CCF698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SFP-XG-SX-MM850</w:t>
            </w:r>
          </w:p>
        </w:tc>
        <w:tc>
          <w:tcPr>
            <w:tcW w:w="1375" w:type="dxa"/>
            <w:tcBorders>
              <w:top w:val="nil"/>
              <w:left w:val="nil"/>
              <w:bottom w:val="single" w:color="000000" w:sz="8" w:space="0"/>
              <w:right w:val="single" w:color="000000" w:sz="8" w:space="0"/>
            </w:tcBorders>
            <w:shd w:val="clear" w:color="auto" w:fill="auto"/>
            <w:vAlign w:val="center"/>
          </w:tcPr>
          <w:p w14:paraId="2FE967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490</w:t>
            </w:r>
          </w:p>
        </w:tc>
      </w:tr>
      <w:tr w14:paraId="0CAF7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E0B49E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1704" w:type="dxa"/>
            <w:vMerge w:val="restart"/>
            <w:tcBorders>
              <w:top w:val="nil"/>
              <w:left w:val="nil"/>
              <w:bottom w:val="single" w:color="000000" w:sz="8" w:space="0"/>
              <w:right w:val="single" w:color="000000" w:sz="8" w:space="0"/>
            </w:tcBorders>
            <w:shd w:val="clear" w:color="auto" w:fill="auto"/>
            <w:vAlign w:val="center"/>
          </w:tcPr>
          <w:p w14:paraId="1AF331A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防火墙</w:t>
            </w:r>
          </w:p>
        </w:tc>
        <w:tc>
          <w:tcPr>
            <w:tcW w:w="1308" w:type="dxa"/>
            <w:vMerge w:val="restart"/>
            <w:tcBorders>
              <w:top w:val="nil"/>
              <w:left w:val="nil"/>
              <w:bottom w:val="single" w:color="000000" w:sz="8" w:space="0"/>
              <w:right w:val="single" w:color="000000" w:sz="8" w:space="0"/>
            </w:tcBorders>
            <w:shd w:val="clear" w:color="auto" w:fill="auto"/>
            <w:vAlign w:val="center"/>
          </w:tcPr>
          <w:p w14:paraId="2DA3368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6B33F1E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NS-SecPath F1080</w:t>
            </w:r>
          </w:p>
        </w:tc>
        <w:tc>
          <w:tcPr>
            <w:tcW w:w="1375" w:type="dxa"/>
            <w:tcBorders>
              <w:top w:val="nil"/>
              <w:left w:val="nil"/>
              <w:bottom w:val="single" w:color="000000" w:sz="8" w:space="0"/>
              <w:right w:val="single" w:color="000000" w:sz="8" w:space="0"/>
            </w:tcBorders>
            <w:shd w:val="clear" w:color="auto" w:fill="auto"/>
            <w:vAlign w:val="center"/>
          </w:tcPr>
          <w:p w14:paraId="41AC407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3F05F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10EAB6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1704" w:type="dxa"/>
            <w:vMerge w:val="continue"/>
            <w:tcBorders>
              <w:top w:val="nil"/>
              <w:left w:val="nil"/>
              <w:bottom w:val="single" w:color="000000" w:sz="8" w:space="0"/>
              <w:right w:val="single" w:color="000000" w:sz="8" w:space="0"/>
            </w:tcBorders>
            <w:shd w:val="clear" w:color="auto" w:fill="auto"/>
            <w:vAlign w:val="center"/>
          </w:tcPr>
          <w:p w14:paraId="19076619">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39C7EDB0">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6E90709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PSR150-A1-B</w:t>
            </w:r>
          </w:p>
        </w:tc>
        <w:tc>
          <w:tcPr>
            <w:tcW w:w="1375" w:type="dxa"/>
            <w:tcBorders>
              <w:top w:val="nil"/>
              <w:left w:val="nil"/>
              <w:bottom w:val="single" w:color="000000" w:sz="8" w:space="0"/>
              <w:right w:val="single" w:color="000000" w:sz="8" w:space="0"/>
            </w:tcBorders>
            <w:shd w:val="clear" w:color="auto" w:fill="auto"/>
            <w:vAlign w:val="center"/>
          </w:tcPr>
          <w:p w14:paraId="174D0FB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r>
      <w:tr w14:paraId="144C9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D20049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1704" w:type="dxa"/>
            <w:vMerge w:val="continue"/>
            <w:tcBorders>
              <w:top w:val="nil"/>
              <w:left w:val="nil"/>
              <w:bottom w:val="single" w:color="000000" w:sz="8" w:space="0"/>
              <w:right w:val="single" w:color="000000" w:sz="8" w:space="0"/>
            </w:tcBorders>
            <w:shd w:val="clear" w:color="auto" w:fill="auto"/>
            <w:vAlign w:val="center"/>
          </w:tcPr>
          <w:p w14:paraId="38213B42">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2EE2C81C">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3AEACCF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LIS-F1000-AV-3Y</w:t>
            </w:r>
          </w:p>
        </w:tc>
        <w:tc>
          <w:tcPr>
            <w:tcW w:w="1375" w:type="dxa"/>
            <w:tcBorders>
              <w:top w:val="nil"/>
              <w:left w:val="nil"/>
              <w:bottom w:val="single" w:color="000000" w:sz="8" w:space="0"/>
              <w:right w:val="single" w:color="000000" w:sz="8" w:space="0"/>
            </w:tcBorders>
            <w:shd w:val="clear" w:color="auto" w:fill="auto"/>
            <w:vAlign w:val="center"/>
          </w:tcPr>
          <w:p w14:paraId="38E2CD5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56F70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77E0AF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1704" w:type="dxa"/>
            <w:vMerge w:val="restart"/>
            <w:tcBorders>
              <w:top w:val="nil"/>
              <w:left w:val="nil"/>
              <w:bottom w:val="single" w:color="000000" w:sz="8" w:space="0"/>
              <w:right w:val="single" w:color="000000" w:sz="8" w:space="0"/>
            </w:tcBorders>
            <w:shd w:val="clear" w:color="auto" w:fill="auto"/>
            <w:vAlign w:val="center"/>
          </w:tcPr>
          <w:p w14:paraId="73568E8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应用防火墙WAF</w:t>
            </w:r>
          </w:p>
        </w:tc>
        <w:tc>
          <w:tcPr>
            <w:tcW w:w="1308" w:type="dxa"/>
            <w:vMerge w:val="restart"/>
            <w:tcBorders>
              <w:top w:val="nil"/>
              <w:left w:val="nil"/>
              <w:bottom w:val="single" w:color="000000" w:sz="8" w:space="0"/>
              <w:right w:val="single" w:color="000000" w:sz="8" w:space="0"/>
            </w:tcBorders>
            <w:shd w:val="clear" w:color="auto" w:fill="auto"/>
            <w:vAlign w:val="center"/>
          </w:tcPr>
          <w:p w14:paraId="1917301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3F46EA2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NS-W2020-G</w:t>
            </w:r>
          </w:p>
        </w:tc>
        <w:tc>
          <w:tcPr>
            <w:tcW w:w="1375" w:type="dxa"/>
            <w:tcBorders>
              <w:top w:val="nil"/>
              <w:left w:val="nil"/>
              <w:bottom w:val="single" w:color="000000" w:sz="8" w:space="0"/>
              <w:right w:val="single" w:color="000000" w:sz="8" w:space="0"/>
            </w:tcBorders>
            <w:shd w:val="clear" w:color="auto" w:fill="auto"/>
            <w:vAlign w:val="center"/>
          </w:tcPr>
          <w:p w14:paraId="7BEF19C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072C4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0D6AD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1704" w:type="dxa"/>
            <w:vMerge w:val="continue"/>
            <w:tcBorders>
              <w:top w:val="nil"/>
              <w:left w:val="nil"/>
              <w:bottom w:val="single" w:color="000000" w:sz="8" w:space="0"/>
              <w:right w:val="single" w:color="000000" w:sz="8" w:space="0"/>
            </w:tcBorders>
            <w:shd w:val="clear" w:color="auto" w:fill="auto"/>
            <w:vAlign w:val="center"/>
          </w:tcPr>
          <w:p w14:paraId="5F64E273">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3DB4F677">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60E17F7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NSQM1IPCGTPFC4GP4A</w:t>
            </w:r>
          </w:p>
        </w:tc>
        <w:tc>
          <w:tcPr>
            <w:tcW w:w="1375" w:type="dxa"/>
            <w:tcBorders>
              <w:top w:val="nil"/>
              <w:left w:val="nil"/>
              <w:bottom w:val="single" w:color="000000" w:sz="8" w:space="0"/>
              <w:right w:val="single" w:color="000000" w:sz="8" w:space="0"/>
            </w:tcBorders>
            <w:shd w:val="clear" w:color="auto" w:fill="auto"/>
            <w:vAlign w:val="center"/>
          </w:tcPr>
          <w:p w14:paraId="1B40127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2580A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7B92C64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1704" w:type="dxa"/>
            <w:vMerge w:val="continue"/>
            <w:tcBorders>
              <w:top w:val="nil"/>
              <w:left w:val="nil"/>
              <w:bottom w:val="single" w:color="000000" w:sz="8" w:space="0"/>
              <w:right w:val="single" w:color="000000" w:sz="8" w:space="0"/>
            </w:tcBorders>
            <w:shd w:val="clear" w:color="auto" w:fill="auto"/>
            <w:vAlign w:val="center"/>
          </w:tcPr>
          <w:p w14:paraId="4283940A">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4482D070">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12A901F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LIS-W2020-G-1Y</w:t>
            </w:r>
          </w:p>
        </w:tc>
        <w:tc>
          <w:tcPr>
            <w:tcW w:w="1375" w:type="dxa"/>
            <w:tcBorders>
              <w:top w:val="nil"/>
              <w:left w:val="nil"/>
              <w:bottom w:val="single" w:color="000000" w:sz="8" w:space="0"/>
              <w:right w:val="single" w:color="000000" w:sz="8" w:space="0"/>
            </w:tcBorders>
            <w:shd w:val="clear" w:color="auto" w:fill="auto"/>
            <w:vAlign w:val="center"/>
          </w:tcPr>
          <w:p w14:paraId="0CF1FDC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01F83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0699C3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1704" w:type="dxa"/>
            <w:tcBorders>
              <w:top w:val="nil"/>
              <w:left w:val="nil"/>
              <w:bottom w:val="single" w:color="000000" w:sz="8" w:space="0"/>
              <w:right w:val="single" w:color="000000" w:sz="8" w:space="0"/>
            </w:tcBorders>
            <w:shd w:val="clear" w:color="auto" w:fill="auto"/>
            <w:vAlign w:val="center"/>
          </w:tcPr>
          <w:p w14:paraId="274EABB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多功能安全网关</w:t>
            </w:r>
          </w:p>
        </w:tc>
        <w:tc>
          <w:tcPr>
            <w:tcW w:w="1308" w:type="dxa"/>
            <w:tcBorders>
              <w:top w:val="nil"/>
              <w:left w:val="nil"/>
              <w:bottom w:val="single" w:color="000000" w:sz="8" w:space="0"/>
              <w:right w:val="single" w:color="000000" w:sz="8" w:space="0"/>
            </w:tcBorders>
            <w:shd w:val="clear" w:color="auto" w:fill="auto"/>
            <w:vAlign w:val="center"/>
          </w:tcPr>
          <w:p w14:paraId="70B46F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2DAABCF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NS-SecPath F1030</w:t>
            </w:r>
          </w:p>
        </w:tc>
        <w:tc>
          <w:tcPr>
            <w:tcW w:w="1375" w:type="dxa"/>
            <w:tcBorders>
              <w:top w:val="nil"/>
              <w:left w:val="nil"/>
              <w:bottom w:val="single" w:color="000000" w:sz="8" w:space="0"/>
              <w:right w:val="single" w:color="000000" w:sz="8" w:space="0"/>
            </w:tcBorders>
            <w:shd w:val="clear" w:color="auto" w:fill="auto"/>
            <w:vAlign w:val="center"/>
          </w:tcPr>
          <w:p w14:paraId="368A2E2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7BF12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A7B871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w:t>
            </w:r>
          </w:p>
        </w:tc>
        <w:tc>
          <w:tcPr>
            <w:tcW w:w="1704" w:type="dxa"/>
            <w:tcBorders>
              <w:top w:val="nil"/>
              <w:left w:val="nil"/>
              <w:bottom w:val="single" w:color="000000" w:sz="8" w:space="0"/>
              <w:right w:val="single" w:color="000000" w:sz="8" w:space="0"/>
            </w:tcBorders>
            <w:shd w:val="clear" w:color="auto" w:fill="auto"/>
            <w:vAlign w:val="center"/>
          </w:tcPr>
          <w:p w14:paraId="2EA66DF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防火墙</w:t>
            </w:r>
          </w:p>
        </w:tc>
        <w:tc>
          <w:tcPr>
            <w:tcW w:w="1308" w:type="dxa"/>
            <w:tcBorders>
              <w:top w:val="nil"/>
              <w:left w:val="nil"/>
              <w:bottom w:val="single" w:color="000000" w:sz="8" w:space="0"/>
              <w:right w:val="single" w:color="000000" w:sz="8" w:space="0"/>
            </w:tcBorders>
            <w:shd w:val="clear" w:color="auto" w:fill="auto"/>
            <w:vAlign w:val="center"/>
          </w:tcPr>
          <w:p w14:paraId="350AF4D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2DE1CBD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SecPath F1050</w:t>
            </w:r>
          </w:p>
        </w:tc>
        <w:tc>
          <w:tcPr>
            <w:tcW w:w="1375" w:type="dxa"/>
            <w:tcBorders>
              <w:top w:val="nil"/>
              <w:left w:val="nil"/>
              <w:bottom w:val="single" w:color="000000" w:sz="8" w:space="0"/>
              <w:right w:val="single" w:color="000000" w:sz="8" w:space="0"/>
            </w:tcBorders>
            <w:shd w:val="clear" w:color="auto" w:fill="auto"/>
            <w:vAlign w:val="center"/>
          </w:tcPr>
          <w:p w14:paraId="788B242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69E88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3441D3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1704" w:type="dxa"/>
            <w:vMerge w:val="restart"/>
            <w:tcBorders>
              <w:top w:val="nil"/>
              <w:left w:val="nil"/>
              <w:bottom w:val="single" w:color="000000" w:sz="8" w:space="0"/>
              <w:right w:val="single" w:color="000000" w:sz="8" w:space="0"/>
            </w:tcBorders>
            <w:shd w:val="clear" w:color="auto" w:fill="auto"/>
            <w:vAlign w:val="center"/>
          </w:tcPr>
          <w:p w14:paraId="1EC9185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IPS入侵防御系统</w:t>
            </w:r>
          </w:p>
        </w:tc>
        <w:tc>
          <w:tcPr>
            <w:tcW w:w="1308" w:type="dxa"/>
            <w:vMerge w:val="restart"/>
            <w:tcBorders>
              <w:top w:val="nil"/>
              <w:left w:val="nil"/>
              <w:bottom w:val="single" w:color="000000" w:sz="8" w:space="0"/>
              <w:right w:val="single" w:color="000000" w:sz="8" w:space="0"/>
            </w:tcBorders>
            <w:shd w:val="clear" w:color="auto" w:fill="auto"/>
            <w:vAlign w:val="center"/>
          </w:tcPr>
          <w:p w14:paraId="28F6A60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4E405F2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NS-SecPath T1060</w:t>
            </w:r>
          </w:p>
        </w:tc>
        <w:tc>
          <w:tcPr>
            <w:tcW w:w="1375" w:type="dxa"/>
            <w:tcBorders>
              <w:top w:val="nil"/>
              <w:left w:val="nil"/>
              <w:bottom w:val="single" w:color="000000" w:sz="8" w:space="0"/>
              <w:right w:val="single" w:color="000000" w:sz="8" w:space="0"/>
            </w:tcBorders>
            <w:shd w:val="clear" w:color="auto" w:fill="auto"/>
            <w:vAlign w:val="center"/>
          </w:tcPr>
          <w:p w14:paraId="52BFA0A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4B8B8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81FA87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1704" w:type="dxa"/>
            <w:vMerge w:val="continue"/>
            <w:tcBorders>
              <w:top w:val="nil"/>
              <w:left w:val="nil"/>
              <w:bottom w:val="single" w:color="000000" w:sz="8" w:space="0"/>
              <w:right w:val="single" w:color="000000" w:sz="8" w:space="0"/>
            </w:tcBorders>
            <w:shd w:val="clear" w:color="auto" w:fill="auto"/>
            <w:vAlign w:val="center"/>
          </w:tcPr>
          <w:p w14:paraId="0D70BEF3">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5650FAD8">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520842F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LSPM2150A</w:t>
            </w:r>
          </w:p>
        </w:tc>
        <w:tc>
          <w:tcPr>
            <w:tcW w:w="1375" w:type="dxa"/>
            <w:tcBorders>
              <w:top w:val="nil"/>
              <w:left w:val="nil"/>
              <w:bottom w:val="single" w:color="000000" w:sz="8" w:space="0"/>
              <w:right w:val="single" w:color="000000" w:sz="8" w:space="0"/>
            </w:tcBorders>
            <w:shd w:val="clear" w:color="auto" w:fill="auto"/>
            <w:vAlign w:val="center"/>
          </w:tcPr>
          <w:p w14:paraId="760F4EA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214F3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5"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F91D2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1704" w:type="dxa"/>
            <w:vMerge w:val="continue"/>
            <w:tcBorders>
              <w:top w:val="nil"/>
              <w:left w:val="nil"/>
              <w:bottom w:val="single" w:color="000000" w:sz="8" w:space="0"/>
              <w:right w:val="single" w:color="000000" w:sz="8" w:space="0"/>
            </w:tcBorders>
            <w:shd w:val="clear" w:color="auto" w:fill="auto"/>
            <w:vAlign w:val="center"/>
          </w:tcPr>
          <w:p w14:paraId="1F6A77D4">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0BB7CBE9">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31A6C8E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LIS-T1060-80-IPS/AV/ACG-3Y</w:t>
            </w:r>
          </w:p>
        </w:tc>
        <w:tc>
          <w:tcPr>
            <w:tcW w:w="1375" w:type="dxa"/>
            <w:tcBorders>
              <w:top w:val="nil"/>
              <w:left w:val="nil"/>
              <w:bottom w:val="single" w:color="000000" w:sz="8" w:space="0"/>
              <w:right w:val="single" w:color="000000" w:sz="8" w:space="0"/>
            </w:tcBorders>
            <w:shd w:val="clear" w:color="auto" w:fill="auto"/>
            <w:vAlign w:val="center"/>
          </w:tcPr>
          <w:p w14:paraId="0F66E70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13203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713C5C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1704" w:type="dxa"/>
            <w:vMerge w:val="restart"/>
            <w:tcBorders>
              <w:top w:val="nil"/>
              <w:left w:val="nil"/>
              <w:bottom w:val="single" w:color="000000" w:sz="8" w:space="0"/>
              <w:right w:val="single" w:color="000000" w:sz="8" w:space="0"/>
            </w:tcBorders>
            <w:shd w:val="clear" w:color="auto" w:fill="auto"/>
            <w:vAlign w:val="center"/>
          </w:tcPr>
          <w:p w14:paraId="35A8715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上网行为管理</w:t>
            </w:r>
          </w:p>
        </w:tc>
        <w:tc>
          <w:tcPr>
            <w:tcW w:w="1308" w:type="dxa"/>
            <w:vMerge w:val="restart"/>
            <w:tcBorders>
              <w:top w:val="nil"/>
              <w:left w:val="nil"/>
              <w:bottom w:val="single" w:color="000000" w:sz="8" w:space="0"/>
              <w:right w:val="single" w:color="000000" w:sz="8" w:space="0"/>
            </w:tcBorders>
            <w:shd w:val="clear" w:color="auto" w:fill="auto"/>
            <w:vAlign w:val="center"/>
          </w:tcPr>
          <w:p w14:paraId="4FC77BC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13A9BAFF">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NS-ACG1000</w:t>
            </w:r>
          </w:p>
        </w:tc>
        <w:tc>
          <w:tcPr>
            <w:tcW w:w="1375" w:type="dxa"/>
            <w:tcBorders>
              <w:top w:val="nil"/>
              <w:left w:val="nil"/>
              <w:bottom w:val="single" w:color="000000" w:sz="8" w:space="0"/>
              <w:right w:val="single" w:color="000000" w:sz="8" w:space="0"/>
            </w:tcBorders>
            <w:shd w:val="clear" w:color="auto" w:fill="auto"/>
            <w:vAlign w:val="center"/>
          </w:tcPr>
          <w:p w14:paraId="0C4B6E0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269B4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368FFB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1704" w:type="dxa"/>
            <w:vMerge w:val="continue"/>
            <w:tcBorders>
              <w:top w:val="nil"/>
              <w:left w:val="nil"/>
              <w:bottom w:val="single" w:color="000000" w:sz="8" w:space="0"/>
              <w:right w:val="single" w:color="000000" w:sz="8" w:space="0"/>
            </w:tcBorders>
            <w:shd w:val="clear" w:color="auto" w:fill="auto"/>
            <w:vAlign w:val="center"/>
          </w:tcPr>
          <w:p w14:paraId="278CA555">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05BF8D9A">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7AC54A3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LIS-ACG1000-AE-1Y</w:t>
            </w:r>
          </w:p>
        </w:tc>
        <w:tc>
          <w:tcPr>
            <w:tcW w:w="1375" w:type="dxa"/>
            <w:tcBorders>
              <w:top w:val="nil"/>
              <w:left w:val="nil"/>
              <w:bottom w:val="single" w:color="000000" w:sz="8" w:space="0"/>
              <w:right w:val="single" w:color="000000" w:sz="8" w:space="0"/>
            </w:tcBorders>
            <w:shd w:val="clear" w:color="auto" w:fill="auto"/>
            <w:vAlign w:val="center"/>
          </w:tcPr>
          <w:p w14:paraId="28D3E3E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21664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35F435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1704" w:type="dxa"/>
            <w:tcBorders>
              <w:top w:val="nil"/>
              <w:left w:val="nil"/>
              <w:bottom w:val="single" w:color="000000" w:sz="8" w:space="0"/>
              <w:right w:val="single" w:color="000000" w:sz="8" w:space="0"/>
            </w:tcBorders>
            <w:shd w:val="clear" w:color="auto" w:fill="auto"/>
            <w:vAlign w:val="center"/>
          </w:tcPr>
          <w:p w14:paraId="5F5325F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数据库审计</w:t>
            </w:r>
          </w:p>
        </w:tc>
        <w:tc>
          <w:tcPr>
            <w:tcW w:w="1308" w:type="dxa"/>
            <w:tcBorders>
              <w:top w:val="nil"/>
              <w:left w:val="nil"/>
              <w:bottom w:val="single" w:color="000000" w:sz="8" w:space="0"/>
              <w:right w:val="single" w:color="000000" w:sz="8" w:space="0"/>
            </w:tcBorders>
            <w:shd w:val="clear" w:color="auto" w:fill="auto"/>
            <w:vAlign w:val="center"/>
          </w:tcPr>
          <w:p w14:paraId="6893E4D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2DD2D0FB">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NS-SecPath D2020-G</w:t>
            </w:r>
          </w:p>
        </w:tc>
        <w:tc>
          <w:tcPr>
            <w:tcW w:w="1375" w:type="dxa"/>
            <w:tcBorders>
              <w:top w:val="nil"/>
              <w:left w:val="nil"/>
              <w:bottom w:val="single" w:color="000000" w:sz="8" w:space="0"/>
              <w:right w:val="single" w:color="000000" w:sz="8" w:space="0"/>
            </w:tcBorders>
            <w:shd w:val="clear" w:color="auto" w:fill="auto"/>
            <w:vAlign w:val="center"/>
          </w:tcPr>
          <w:p w14:paraId="302A781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5C412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8"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7D1FD90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w:t>
            </w:r>
          </w:p>
        </w:tc>
        <w:tc>
          <w:tcPr>
            <w:tcW w:w="1704" w:type="dxa"/>
            <w:vMerge w:val="restart"/>
            <w:tcBorders>
              <w:top w:val="nil"/>
              <w:left w:val="nil"/>
              <w:bottom w:val="single" w:color="000000" w:sz="8" w:space="0"/>
              <w:right w:val="single" w:color="000000" w:sz="8" w:space="0"/>
            </w:tcBorders>
            <w:shd w:val="clear" w:color="auto" w:fill="auto"/>
            <w:vAlign w:val="center"/>
          </w:tcPr>
          <w:p w14:paraId="587375E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网络运维管理中心</w:t>
            </w:r>
          </w:p>
        </w:tc>
        <w:tc>
          <w:tcPr>
            <w:tcW w:w="1308" w:type="dxa"/>
            <w:vMerge w:val="restart"/>
            <w:tcBorders>
              <w:top w:val="nil"/>
              <w:left w:val="nil"/>
              <w:bottom w:val="single" w:color="000000" w:sz="8" w:space="0"/>
              <w:right w:val="single" w:color="000000" w:sz="8" w:space="0"/>
            </w:tcBorders>
            <w:shd w:val="clear" w:color="auto" w:fill="auto"/>
            <w:vAlign w:val="center"/>
          </w:tcPr>
          <w:p w14:paraId="19171D4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2C10EA5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LIS-DR2000-ADCAMD-200</w:t>
            </w:r>
          </w:p>
        </w:tc>
        <w:tc>
          <w:tcPr>
            <w:tcW w:w="1375" w:type="dxa"/>
            <w:tcBorders>
              <w:top w:val="nil"/>
              <w:left w:val="nil"/>
              <w:bottom w:val="single" w:color="000000" w:sz="8" w:space="0"/>
              <w:right w:val="single" w:color="000000" w:sz="8" w:space="0"/>
            </w:tcBorders>
            <w:shd w:val="clear" w:color="auto" w:fill="auto"/>
            <w:vAlign w:val="center"/>
          </w:tcPr>
          <w:p w14:paraId="0E92247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6BA2B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0B5BED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1704" w:type="dxa"/>
            <w:vMerge w:val="continue"/>
            <w:tcBorders>
              <w:top w:val="nil"/>
              <w:left w:val="nil"/>
              <w:bottom w:val="single" w:color="000000" w:sz="8" w:space="0"/>
              <w:right w:val="single" w:color="000000" w:sz="8" w:space="0"/>
            </w:tcBorders>
            <w:shd w:val="clear" w:color="auto" w:fill="auto"/>
            <w:vAlign w:val="center"/>
          </w:tcPr>
          <w:p w14:paraId="26E40988">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51EC3823">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4A35B9C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LIS-DR2000-ADCAMG-SOF</w:t>
            </w:r>
          </w:p>
        </w:tc>
        <w:tc>
          <w:tcPr>
            <w:tcW w:w="1375" w:type="dxa"/>
            <w:tcBorders>
              <w:top w:val="nil"/>
              <w:left w:val="nil"/>
              <w:bottom w:val="single" w:color="000000" w:sz="8" w:space="0"/>
              <w:right w:val="single" w:color="000000" w:sz="8" w:space="0"/>
            </w:tcBorders>
            <w:shd w:val="clear" w:color="auto" w:fill="auto"/>
            <w:vAlign w:val="center"/>
          </w:tcPr>
          <w:p w14:paraId="08C003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2ABBA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2A31DA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41</w:t>
            </w:r>
          </w:p>
        </w:tc>
        <w:tc>
          <w:tcPr>
            <w:tcW w:w="1704" w:type="dxa"/>
            <w:vMerge w:val="continue"/>
            <w:tcBorders>
              <w:top w:val="nil"/>
              <w:left w:val="nil"/>
              <w:bottom w:val="single" w:color="000000" w:sz="8" w:space="0"/>
              <w:right w:val="single" w:color="000000" w:sz="8" w:space="0"/>
            </w:tcBorders>
            <w:shd w:val="clear" w:color="auto" w:fill="auto"/>
            <w:vAlign w:val="center"/>
          </w:tcPr>
          <w:p w14:paraId="340D0BE2">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6D9D0356">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4A3A4FD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SWP-SDNAPP-ADWSM</w:t>
            </w:r>
          </w:p>
        </w:tc>
        <w:tc>
          <w:tcPr>
            <w:tcW w:w="1375" w:type="dxa"/>
            <w:tcBorders>
              <w:top w:val="nil"/>
              <w:left w:val="nil"/>
              <w:bottom w:val="single" w:color="000000" w:sz="8" w:space="0"/>
              <w:right w:val="single" w:color="000000" w:sz="8" w:space="0"/>
            </w:tcBorders>
            <w:shd w:val="clear" w:color="auto" w:fill="auto"/>
            <w:vAlign w:val="center"/>
          </w:tcPr>
          <w:p w14:paraId="7B49310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0619E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1E0079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w:t>
            </w:r>
          </w:p>
        </w:tc>
        <w:tc>
          <w:tcPr>
            <w:tcW w:w="1704" w:type="dxa"/>
            <w:vMerge w:val="continue"/>
            <w:tcBorders>
              <w:top w:val="nil"/>
              <w:left w:val="nil"/>
              <w:bottom w:val="single" w:color="000000" w:sz="8" w:space="0"/>
              <w:right w:val="single" w:color="000000" w:sz="8" w:space="0"/>
            </w:tcBorders>
            <w:shd w:val="clear" w:color="auto" w:fill="auto"/>
            <w:vAlign w:val="center"/>
          </w:tcPr>
          <w:p w14:paraId="79BCEB10">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6D19AC27">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0E6EFD2C">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LIS-SDNAPP-ADWSMD-500</w:t>
            </w:r>
          </w:p>
        </w:tc>
        <w:tc>
          <w:tcPr>
            <w:tcW w:w="1375" w:type="dxa"/>
            <w:tcBorders>
              <w:top w:val="nil"/>
              <w:left w:val="nil"/>
              <w:bottom w:val="single" w:color="000000" w:sz="8" w:space="0"/>
              <w:right w:val="single" w:color="000000" w:sz="8" w:space="0"/>
            </w:tcBorders>
            <w:shd w:val="clear" w:color="auto" w:fill="auto"/>
            <w:vAlign w:val="center"/>
          </w:tcPr>
          <w:p w14:paraId="3017A68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47B8E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5FDEFB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1704" w:type="dxa"/>
            <w:vMerge w:val="continue"/>
            <w:tcBorders>
              <w:top w:val="nil"/>
              <w:left w:val="nil"/>
              <w:bottom w:val="single" w:color="000000" w:sz="8" w:space="0"/>
              <w:right w:val="single" w:color="000000" w:sz="8" w:space="0"/>
            </w:tcBorders>
            <w:shd w:val="clear" w:color="auto" w:fill="auto"/>
            <w:vAlign w:val="center"/>
          </w:tcPr>
          <w:p w14:paraId="1E39CA77">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73DE98F">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13F5A806">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LIS-SDNAPP-ADWSMB-100</w:t>
            </w:r>
          </w:p>
        </w:tc>
        <w:tc>
          <w:tcPr>
            <w:tcW w:w="1375" w:type="dxa"/>
            <w:tcBorders>
              <w:top w:val="nil"/>
              <w:left w:val="nil"/>
              <w:bottom w:val="single" w:color="000000" w:sz="8" w:space="0"/>
              <w:right w:val="single" w:color="000000" w:sz="8" w:space="0"/>
            </w:tcBorders>
            <w:shd w:val="clear" w:color="auto" w:fill="auto"/>
            <w:vAlign w:val="center"/>
          </w:tcPr>
          <w:p w14:paraId="2DF6DB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0492A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F84B9B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1704" w:type="dxa"/>
            <w:vMerge w:val="restart"/>
            <w:tcBorders>
              <w:top w:val="nil"/>
              <w:left w:val="nil"/>
              <w:bottom w:val="single" w:color="000000" w:sz="8" w:space="0"/>
              <w:right w:val="single" w:color="000000" w:sz="8" w:space="0"/>
            </w:tcBorders>
            <w:shd w:val="clear" w:color="auto" w:fill="auto"/>
            <w:vAlign w:val="center"/>
          </w:tcPr>
          <w:p w14:paraId="2049EED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内网安全管理</w:t>
            </w:r>
          </w:p>
        </w:tc>
        <w:tc>
          <w:tcPr>
            <w:tcW w:w="1308" w:type="dxa"/>
            <w:vMerge w:val="restart"/>
            <w:tcBorders>
              <w:top w:val="nil"/>
              <w:left w:val="nil"/>
              <w:bottom w:val="single" w:color="000000" w:sz="8" w:space="0"/>
              <w:right w:val="single" w:color="000000" w:sz="8" w:space="0"/>
            </w:tcBorders>
            <w:shd w:val="clear" w:color="auto" w:fill="auto"/>
            <w:vAlign w:val="center"/>
          </w:tcPr>
          <w:p w14:paraId="3F736B4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19A8713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SWP-SDNAPP-ADEAD</w:t>
            </w:r>
          </w:p>
        </w:tc>
        <w:tc>
          <w:tcPr>
            <w:tcW w:w="1375" w:type="dxa"/>
            <w:tcBorders>
              <w:top w:val="nil"/>
              <w:left w:val="nil"/>
              <w:bottom w:val="single" w:color="000000" w:sz="8" w:space="0"/>
              <w:right w:val="single" w:color="000000" w:sz="8" w:space="0"/>
            </w:tcBorders>
            <w:shd w:val="clear" w:color="auto" w:fill="auto"/>
            <w:vAlign w:val="center"/>
          </w:tcPr>
          <w:p w14:paraId="46816C2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57C29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74DCA1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1704" w:type="dxa"/>
            <w:vMerge w:val="continue"/>
            <w:tcBorders>
              <w:top w:val="nil"/>
              <w:left w:val="nil"/>
              <w:bottom w:val="single" w:color="000000" w:sz="8" w:space="0"/>
              <w:right w:val="single" w:color="000000" w:sz="8" w:space="0"/>
            </w:tcBorders>
            <w:shd w:val="clear" w:color="auto" w:fill="auto"/>
            <w:vAlign w:val="center"/>
          </w:tcPr>
          <w:p w14:paraId="13F191BE">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5D86FC04">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4BF841F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LIS-SDNAPP-ADEADD-2K</w:t>
            </w:r>
          </w:p>
        </w:tc>
        <w:tc>
          <w:tcPr>
            <w:tcW w:w="1375" w:type="dxa"/>
            <w:tcBorders>
              <w:top w:val="nil"/>
              <w:left w:val="nil"/>
              <w:bottom w:val="single" w:color="000000" w:sz="8" w:space="0"/>
              <w:right w:val="single" w:color="000000" w:sz="8" w:space="0"/>
            </w:tcBorders>
            <w:shd w:val="clear" w:color="auto" w:fill="auto"/>
            <w:vAlign w:val="center"/>
          </w:tcPr>
          <w:p w14:paraId="1159AD7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2D132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6E9FC0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1704" w:type="dxa"/>
            <w:tcBorders>
              <w:top w:val="nil"/>
              <w:left w:val="nil"/>
              <w:bottom w:val="single" w:color="000000" w:sz="8" w:space="0"/>
              <w:right w:val="single" w:color="000000" w:sz="8" w:space="0"/>
            </w:tcBorders>
            <w:shd w:val="clear" w:color="auto" w:fill="auto"/>
            <w:vAlign w:val="center"/>
          </w:tcPr>
          <w:p w14:paraId="0FEEE6B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系统服务器</w:t>
            </w:r>
          </w:p>
        </w:tc>
        <w:tc>
          <w:tcPr>
            <w:tcW w:w="1308" w:type="dxa"/>
            <w:tcBorders>
              <w:top w:val="nil"/>
              <w:left w:val="nil"/>
              <w:bottom w:val="single" w:color="000000" w:sz="8" w:space="0"/>
              <w:right w:val="single" w:color="000000" w:sz="8" w:space="0"/>
            </w:tcBorders>
            <w:shd w:val="clear" w:color="auto" w:fill="auto"/>
            <w:vAlign w:val="center"/>
          </w:tcPr>
          <w:p w14:paraId="10007F1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vAlign w:val="center"/>
          </w:tcPr>
          <w:p w14:paraId="0BD973B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UN-R6900-G3</w:t>
            </w:r>
          </w:p>
        </w:tc>
        <w:tc>
          <w:tcPr>
            <w:tcW w:w="1375" w:type="dxa"/>
            <w:tcBorders>
              <w:top w:val="nil"/>
              <w:left w:val="nil"/>
              <w:bottom w:val="single" w:color="000000" w:sz="8" w:space="0"/>
              <w:right w:val="single" w:color="000000" w:sz="8" w:space="0"/>
            </w:tcBorders>
            <w:shd w:val="clear" w:color="auto" w:fill="auto"/>
            <w:vAlign w:val="center"/>
          </w:tcPr>
          <w:p w14:paraId="163B105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52DEB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7AF280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w:t>
            </w:r>
          </w:p>
        </w:tc>
        <w:tc>
          <w:tcPr>
            <w:tcW w:w="1704" w:type="dxa"/>
            <w:vMerge w:val="restart"/>
            <w:tcBorders>
              <w:top w:val="nil"/>
              <w:left w:val="nil"/>
              <w:bottom w:val="single" w:color="000000" w:sz="8" w:space="0"/>
              <w:right w:val="single" w:color="000000" w:sz="8" w:space="0"/>
            </w:tcBorders>
            <w:shd w:val="clear" w:color="auto" w:fill="auto"/>
            <w:vAlign w:val="center"/>
          </w:tcPr>
          <w:p w14:paraId="22CBF5B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无线控制器</w:t>
            </w:r>
          </w:p>
        </w:tc>
        <w:tc>
          <w:tcPr>
            <w:tcW w:w="1308" w:type="dxa"/>
            <w:vMerge w:val="restart"/>
            <w:tcBorders>
              <w:top w:val="nil"/>
              <w:left w:val="nil"/>
              <w:bottom w:val="single" w:color="000000" w:sz="8" w:space="0"/>
              <w:right w:val="single" w:color="000000" w:sz="8" w:space="0"/>
            </w:tcBorders>
            <w:shd w:val="clear" w:color="auto" w:fill="auto"/>
            <w:vAlign w:val="center"/>
          </w:tcPr>
          <w:p w14:paraId="2D7A686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锐捷</w:t>
            </w:r>
          </w:p>
        </w:tc>
        <w:tc>
          <w:tcPr>
            <w:tcW w:w="3336" w:type="dxa"/>
            <w:tcBorders>
              <w:top w:val="nil"/>
              <w:left w:val="nil"/>
              <w:bottom w:val="single" w:color="000000" w:sz="8" w:space="0"/>
              <w:right w:val="single" w:color="000000" w:sz="8" w:space="0"/>
            </w:tcBorders>
            <w:shd w:val="clear" w:color="auto" w:fill="auto"/>
            <w:vAlign w:val="center"/>
          </w:tcPr>
          <w:p w14:paraId="02F082F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RG-WS6812</w:t>
            </w:r>
          </w:p>
        </w:tc>
        <w:tc>
          <w:tcPr>
            <w:tcW w:w="1375" w:type="dxa"/>
            <w:tcBorders>
              <w:top w:val="nil"/>
              <w:left w:val="nil"/>
              <w:bottom w:val="single" w:color="000000" w:sz="8" w:space="0"/>
              <w:right w:val="single" w:color="000000" w:sz="8" w:space="0"/>
            </w:tcBorders>
            <w:shd w:val="clear" w:color="auto" w:fill="auto"/>
            <w:vAlign w:val="center"/>
          </w:tcPr>
          <w:p w14:paraId="11FE17C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15B5A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700AE1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1704" w:type="dxa"/>
            <w:vMerge w:val="continue"/>
            <w:tcBorders>
              <w:top w:val="nil"/>
              <w:left w:val="nil"/>
              <w:bottom w:val="single" w:color="000000" w:sz="8" w:space="0"/>
              <w:right w:val="single" w:color="000000" w:sz="8" w:space="0"/>
            </w:tcBorders>
            <w:shd w:val="clear" w:color="auto" w:fill="auto"/>
            <w:vAlign w:val="center"/>
          </w:tcPr>
          <w:p w14:paraId="09DB422A">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7BE8BB5">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569E608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RG-PA300I</w:t>
            </w:r>
          </w:p>
        </w:tc>
        <w:tc>
          <w:tcPr>
            <w:tcW w:w="1375" w:type="dxa"/>
            <w:tcBorders>
              <w:top w:val="nil"/>
              <w:left w:val="nil"/>
              <w:bottom w:val="single" w:color="000000" w:sz="8" w:space="0"/>
              <w:right w:val="single" w:color="000000" w:sz="8" w:space="0"/>
            </w:tcBorders>
            <w:shd w:val="clear" w:color="auto" w:fill="auto"/>
            <w:vAlign w:val="center"/>
          </w:tcPr>
          <w:p w14:paraId="09CCD75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2C62A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722A8F9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c>
          <w:tcPr>
            <w:tcW w:w="1704" w:type="dxa"/>
            <w:vMerge w:val="continue"/>
            <w:tcBorders>
              <w:top w:val="nil"/>
              <w:left w:val="nil"/>
              <w:bottom w:val="single" w:color="000000" w:sz="8" w:space="0"/>
              <w:right w:val="single" w:color="000000" w:sz="8" w:space="0"/>
            </w:tcBorders>
            <w:shd w:val="clear" w:color="auto" w:fill="auto"/>
            <w:vAlign w:val="center"/>
          </w:tcPr>
          <w:p w14:paraId="70A40D39">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0E48786">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2A811DD8">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RG-LIC-WS-512</w:t>
            </w:r>
          </w:p>
        </w:tc>
        <w:tc>
          <w:tcPr>
            <w:tcW w:w="1375" w:type="dxa"/>
            <w:tcBorders>
              <w:top w:val="nil"/>
              <w:left w:val="nil"/>
              <w:bottom w:val="single" w:color="000000" w:sz="8" w:space="0"/>
              <w:right w:val="single" w:color="000000" w:sz="8" w:space="0"/>
            </w:tcBorders>
            <w:shd w:val="clear" w:color="auto" w:fill="auto"/>
            <w:vAlign w:val="center"/>
          </w:tcPr>
          <w:p w14:paraId="336E002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72F35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61EF5E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1704" w:type="dxa"/>
            <w:vMerge w:val="continue"/>
            <w:tcBorders>
              <w:top w:val="nil"/>
              <w:left w:val="nil"/>
              <w:bottom w:val="single" w:color="000000" w:sz="8" w:space="0"/>
              <w:right w:val="single" w:color="000000" w:sz="8" w:space="0"/>
            </w:tcBorders>
            <w:shd w:val="clear" w:color="auto" w:fill="auto"/>
            <w:vAlign w:val="center"/>
          </w:tcPr>
          <w:p w14:paraId="60A231F7">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14563B3">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5F337A8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RG-LIC-WS-128</w:t>
            </w:r>
          </w:p>
        </w:tc>
        <w:tc>
          <w:tcPr>
            <w:tcW w:w="1375" w:type="dxa"/>
            <w:tcBorders>
              <w:top w:val="nil"/>
              <w:left w:val="nil"/>
              <w:bottom w:val="single" w:color="000000" w:sz="8" w:space="0"/>
              <w:right w:val="single" w:color="000000" w:sz="8" w:space="0"/>
            </w:tcBorders>
            <w:shd w:val="clear" w:color="auto" w:fill="auto"/>
            <w:vAlign w:val="center"/>
          </w:tcPr>
          <w:p w14:paraId="5E9245B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w:t>
            </w:r>
          </w:p>
        </w:tc>
      </w:tr>
      <w:tr w14:paraId="2C6D2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C4C85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51</w:t>
            </w:r>
          </w:p>
        </w:tc>
        <w:tc>
          <w:tcPr>
            <w:tcW w:w="1704" w:type="dxa"/>
            <w:vMerge w:val="restart"/>
            <w:tcBorders>
              <w:top w:val="nil"/>
              <w:left w:val="nil"/>
              <w:bottom w:val="single" w:color="000000" w:sz="8" w:space="0"/>
              <w:right w:val="single" w:color="000000" w:sz="8" w:space="0"/>
            </w:tcBorders>
            <w:shd w:val="clear" w:color="auto" w:fill="auto"/>
            <w:vAlign w:val="center"/>
          </w:tcPr>
          <w:p w14:paraId="0426C16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馈线入室AP</w:t>
            </w:r>
          </w:p>
        </w:tc>
        <w:tc>
          <w:tcPr>
            <w:tcW w:w="1308" w:type="dxa"/>
            <w:vMerge w:val="restart"/>
            <w:tcBorders>
              <w:top w:val="nil"/>
              <w:left w:val="nil"/>
              <w:bottom w:val="single" w:color="000000" w:sz="8" w:space="0"/>
              <w:right w:val="single" w:color="000000" w:sz="8" w:space="0"/>
            </w:tcBorders>
            <w:shd w:val="clear" w:color="auto" w:fill="auto"/>
            <w:vAlign w:val="center"/>
          </w:tcPr>
          <w:p w14:paraId="07B2726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锐捷</w:t>
            </w:r>
          </w:p>
        </w:tc>
        <w:tc>
          <w:tcPr>
            <w:tcW w:w="3336" w:type="dxa"/>
            <w:tcBorders>
              <w:top w:val="nil"/>
              <w:left w:val="nil"/>
              <w:bottom w:val="single" w:color="000000" w:sz="8" w:space="0"/>
              <w:right w:val="single" w:color="000000" w:sz="8" w:space="0"/>
            </w:tcBorders>
            <w:shd w:val="clear" w:color="auto" w:fill="auto"/>
            <w:vAlign w:val="center"/>
          </w:tcPr>
          <w:p w14:paraId="0C6A876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RG-AP4220</w:t>
            </w:r>
          </w:p>
        </w:tc>
        <w:tc>
          <w:tcPr>
            <w:tcW w:w="1375" w:type="dxa"/>
            <w:tcBorders>
              <w:top w:val="nil"/>
              <w:left w:val="nil"/>
              <w:bottom w:val="single" w:color="000000" w:sz="8" w:space="0"/>
              <w:right w:val="single" w:color="000000" w:sz="8" w:space="0"/>
            </w:tcBorders>
            <w:shd w:val="clear" w:color="auto" w:fill="auto"/>
            <w:vAlign w:val="center"/>
          </w:tcPr>
          <w:p w14:paraId="3263EF9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r>
      <w:tr w14:paraId="01EFB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35234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1704" w:type="dxa"/>
            <w:vMerge w:val="continue"/>
            <w:tcBorders>
              <w:top w:val="nil"/>
              <w:left w:val="nil"/>
              <w:bottom w:val="single" w:color="000000" w:sz="8" w:space="0"/>
              <w:right w:val="single" w:color="000000" w:sz="8" w:space="0"/>
            </w:tcBorders>
            <w:shd w:val="clear" w:color="auto" w:fill="auto"/>
            <w:vAlign w:val="center"/>
          </w:tcPr>
          <w:p w14:paraId="392EB650">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341371B0">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3FA8044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RG-Cab-SMA-18m-MJ</w:t>
            </w:r>
          </w:p>
        </w:tc>
        <w:tc>
          <w:tcPr>
            <w:tcW w:w="1375" w:type="dxa"/>
            <w:tcBorders>
              <w:top w:val="nil"/>
              <w:left w:val="nil"/>
              <w:bottom w:val="single" w:color="000000" w:sz="8" w:space="0"/>
              <w:right w:val="single" w:color="000000" w:sz="8" w:space="0"/>
            </w:tcBorders>
            <w:shd w:val="clear" w:color="auto" w:fill="auto"/>
            <w:vAlign w:val="center"/>
          </w:tcPr>
          <w:p w14:paraId="0246E6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r>
      <w:tr w14:paraId="5040B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4A5631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53</w:t>
            </w:r>
          </w:p>
        </w:tc>
        <w:tc>
          <w:tcPr>
            <w:tcW w:w="1704" w:type="dxa"/>
            <w:vMerge w:val="continue"/>
            <w:tcBorders>
              <w:top w:val="nil"/>
              <w:left w:val="nil"/>
              <w:bottom w:val="single" w:color="000000" w:sz="8" w:space="0"/>
              <w:right w:val="single" w:color="000000" w:sz="8" w:space="0"/>
            </w:tcBorders>
            <w:shd w:val="clear" w:color="auto" w:fill="auto"/>
            <w:vAlign w:val="center"/>
          </w:tcPr>
          <w:p w14:paraId="06742D50">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38D18993">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0A74E89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RG-Cab-SMA-35m-MJ</w:t>
            </w:r>
          </w:p>
        </w:tc>
        <w:tc>
          <w:tcPr>
            <w:tcW w:w="1375" w:type="dxa"/>
            <w:tcBorders>
              <w:top w:val="nil"/>
              <w:left w:val="nil"/>
              <w:bottom w:val="single" w:color="000000" w:sz="8" w:space="0"/>
              <w:right w:val="single" w:color="000000" w:sz="8" w:space="0"/>
            </w:tcBorders>
            <w:shd w:val="clear" w:color="auto" w:fill="auto"/>
            <w:vAlign w:val="center"/>
          </w:tcPr>
          <w:p w14:paraId="5FA204B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w:t>
            </w:r>
          </w:p>
        </w:tc>
      </w:tr>
      <w:tr w14:paraId="5E078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AAA744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54</w:t>
            </w:r>
          </w:p>
        </w:tc>
        <w:tc>
          <w:tcPr>
            <w:tcW w:w="1704" w:type="dxa"/>
            <w:vMerge w:val="continue"/>
            <w:tcBorders>
              <w:top w:val="nil"/>
              <w:left w:val="nil"/>
              <w:bottom w:val="single" w:color="000000" w:sz="8" w:space="0"/>
              <w:right w:val="single" w:color="000000" w:sz="8" w:space="0"/>
            </w:tcBorders>
            <w:shd w:val="clear" w:color="auto" w:fill="auto"/>
            <w:vAlign w:val="center"/>
          </w:tcPr>
          <w:p w14:paraId="5AC0D8DA">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53C98E61">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4D1B66A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RG-APD-M(EA)</w:t>
            </w:r>
          </w:p>
        </w:tc>
        <w:tc>
          <w:tcPr>
            <w:tcW w:w="1375" w:type="dxa"/>
            <w:tcBorders>
              <w:top w:val="nil"/>
              <w:left w:val="nil"/>
              <w:bottom w:val="single" w:color="000000" w:sz="8" w:space="0"/>
              <w:right w:val="single" w:color="000000" w:sz="8" w:space="0"/>
            </w:tcBorders>
            <w:shd w:val="clear" w:color="auto" w:fill="auto"/>
            <w:vAlign w:val="center"/>
          </w:tcPr>
          <w:p w14:paraId="66CCA1A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104</w:t>
            </w:r>
          </w:p>
        </w:tc>
      </w:tr>
      <w:tr w14:paraId="73E4A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A28A33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w:t>
            </w:r>
          </w:p>
        </w:tc>
        <w:tc>
          <w:tcPr>
            <w:tcW w:w="1704" w:type="dxa"/>
            <w:vMerge w:val="continue"/>
            <w:tcBorders>
              <w:top w:val="nil"/>
              <w:left w:val="nil"/>
              <w:bottom w:val="single" w:color="000000" w:sz="8" w:space="0"/>
              <w:right w:val="single" w:color="000000" w:sz="8" w:space="0"/>
            </w:tcBorders>
            <w:shd w:val="clear" w:color="auto" w:fill="auto"/>
            <w:vAlign w:val="center"/>
          </w:tcPr>
          <w:p w14:paraId="5C2CAC34">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E430194">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6BEB6FD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RG-DCAB-SMA-10m</w:t>
            </w:r>
          </w:p>
        </w:tc>
        <w:tc>
          <w:tcPr>
            <w:tcW w:w="1375" w:type="dxa"/>
            <w:tcBorders>
              <w:top w:val="nil"/>
              <w:left w:val="nil"/>
              <w:bottom w:val="single" w:color="000000" w:sz="8" w:space="0"/>
              <w:right w:val="single" w:color="000000" w:sz="8" w:space="0"/>
            </w:tcBorders>
            <w:shd w:val="clear" w:color="auto" w:fill="auto"/>
            <w:vAlign w:val="center"/>
          </w:tcPr>
          <w:p w14:paraId="494A9E9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397</w:t>
            </w:r>
          </w:p>
        </w:tc>
      </w:tr>
      <w:tr w14:paraId="4381E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7727BE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56</w:t>
            </w:r>
          </w:p>
        </w:tc>
        <w:tc>
          <w:tcPr>
            <w:tcW w:w="1704" w:type="dxa"/>
            <w:vMerge w:val="continue"/>
            <w:tcBorders>
              <w:top w:val="nil"/>
              <w:left w:val="nil"/>
              <w:bottom w:val="single" w:color="000000" w:sz="8" w:space="0"/>
              <w:right w:val="single" w:color="000000" w:sz="8" w:space="0"/>
            </w:tcBorders>
            <w:shd w:val="clear" w:color="auto" w:fill="auto"/>
            <w:vAlign w:val="center"/>
          </w:tcPr>
          <w:p w14:paraId="65C0527F">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55CCA3C1">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5421F79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RG-DCAB-SMA-5m</w:t>
            </w:r>
          </w:p>
        </w:tc>
        <w:tc>
          <w:tcPr>
            <w:tcW w:w="1375" w:type="dxa"/>
            <w:tcBorders>
              <w:top w:val="nil"/>
              <w:left w:val="nil"/>
              <w:bottom w:val="single" w:color="000000" w:sz="8" w:space="0"/>
              <w:right w:val="single" w:color="000000" w:sz="8" w:space="0"/>
            </w:tcBorders>
            <w:shd w:val="clear" w:color="auto" w:fill="auto"/>
            <w:vAlign w:val="center"/>
          </w:tcPr>
          <w:p w14:paraId="0D7334B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213</w:t>
            </w:r>
          </w:p>
        </w:tc>
      </w:tr>
      <w:tr w14:paraId="42CAB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59BF7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57</w:t>
            </w:r>
          </w:p>
        </w:tc>
        <w:tc>
          <w:tcPr>
            <w:tcW w:w="1704" w:type="dxa"/>
            <w:vMerge w:val="continue"/>
            <w:tcBorders>
              <w:top w:val="nil"/>
              <w:left w:val="nil"/>
              <w:bottom w:val="single" w:color="000000" w:sz="8" w:space="0"/>
              <w:right w:val="single" w:color="000000" w:sz="8" w:space="0"/>
            </w:tcBorders>
            <w:shd w:val="clear" w:color="auto" w:fill="auto"/>
            <w:vAlign w:val="center"/>
          </w:tcPr>
          <w:p w14:paraId="0E126E9B">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55E04D9B">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41D4E95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RG-IOA-2503-X6</w:t>
            </w:r>
          </w:p>
        </w:tc>
        <w:tc>
          <w:tcPr>
            <w:tcW w:w="1375" w:type="dxa"/>
            <w:tcBorders>
              <w:top w:val="nil"/>
              <w:left w:val="nil"/>
              <w:bottom w:val="single" w:color="000000" w:sz="8" w:space="0"/>
              <w:right w:val="single" w:color="000000" w:sz="8" w:space="0"/>
            </w:tcBorders>
            <w:shd w:val="clear" w:color="auto" w:fill="auto"/>
            <w:vAlign w:val="center"/>
          </w:tcPr>
          <w:p w14:paraId="4E6A524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610</w:t>
            </w:r>
          </w:p>
        </w:tc>
      </w:tr>
      <w:tr w14:paraId="1858C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6"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E10F4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58</w:t>
            </w:r>
          </w:p>
        </w:tc>
        <w:tc>
          <w:tcPr>
            <w:tcW w:w="1704" w:type="dxa"/>
            <w:vMerge w:val="restart"/>
            <w:tcBorders>
              <w:top w:val="nil"/>
              <w:left w:val="nil"/>
              <w:bottom w:val="single" w:color="000000" w:sz="8" w:space="0"/>
              <w:right w:val="single" w:color="000000" w:sz="8" w:space="0"/>
            </w:tcBorders>
            <w:shd w:val="clear" w:color="auto" w:fill="auto"/>
            <w:vAlign w:val="center"/>
          </w:tcPr>
          <w:p w14:paraId="29B08CE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ICU病区AP</w:t>
            </w:r>
          </w:p>
        </w:tc>
        <w:tc>
          <w:tcPr>
            <w:tcW w:w="1308" w:type="dxa"/>
            <w:vMerge w:val="restart"/>
            <w:tcBorders>
              <w:top w:val="nil"/>
              <w:left w:val="nil"/>
              <w:bottom w:val="single" w:color="000000" w:sz="8" w:space="0"/>
              <w:right w:val="single" w:color="000000" w:sz="8" w:space="0"/>
            </w:tcBorders>
            <w:shd w:val="clear" w:color="auto" w:fill="auto"/>
            <w:vAlign w:val="center"/>
          </w:tcPr>
          <w:p w14:paraId="2B13BF0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锐捷</w:t>
            </w:r>
          </w:p>
        </w:tc>
        <w:tc>
          <w:tcPr>
            <w:tcW w:w="3336" w:type="dxa"/>
            <w:tcBorders>
              <w:top w:val="nil"/>
              <w:left w:val="nil"/>
              <w:bottom w:val="single" w:color="000000" w:sz="8" w:space="0"/>
              <w:right w:val="single" w:color="000000" w:sz="8" w:space="0"/>
            </w:tcBorders>
            <w:shd w:val="clear" w:color="auto" w:fill="auto"/>
            <w:vAlign w:val="center"/>
          </w:tcPr>
          <w:p w14:paraId="64DCADF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RG-AM5528(ES)</w:t>
            </w:r>
          </w:p>
        </w:tc>
        <w:tc>
          <w:tcPr>
            <w:tcW w:w="1375" w:type="dxa"/>
            <w:tcBorders>
              <w:top w:val="nil"/>
              <w:left w:val="nil"/>
              <w:bottom w:val="single" w:color="000000" w:sz="8" w:space="0"/>
              <w:right w:val="single" w:color="000000" w:sz="8" w:space="0"/>
            </w:tcBorders>
            <w:shd w:val="clear" w:color="auto" w:fill="auto"/>
            <w:vAlign w:val="center"/>
          </w:tcPr>
          <w:p w14:paraId="10B53A2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6486E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C83814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59</w:t>
            </w:r>
          </w:p>
        </w:tc>
        <w:tc>
          <w:tcPr>
            <w:tcW w:w="1704" w:type="dxa"/>
            <w:vMerge w:val="continue"/>
            <w:tcBorders>
              <w:top w:val="nil"/>
              <w:left w:val="nil"/>
              <w:bottom w:val="single" w:color="000000" w:sz="8" w:space="0"/>
              <w:right w:val="single" w:color="000000" w:sz="8" w:space="0"/>
            </w:tcBorders>
            <w:shd w:val="clear" w:color="auto" w:fill="auto"/>
            <w:vAlign w:val="center"/>
          </w:tcPr>
          <w:p w14:paraId="191DBFE0">
            <w:pPr>
              <w:jc w:val="center"/>
              <w:rPr>
                <w:rFonts w:hint="eastAsia" w:ascii="仿宋" w:hAnsi="仿宋" w:eastAsia="仿宋" w:cs="仿宋"/>
                <w:i w:val="0"/>
                <w:iCs w:val="0"/>
                <w:color w:val="000000"/>
                <w:sz w:val="24"/>
                <w:szCs w:val="24"/>
                <w:u w:val="none"/>
              </w:rPr>
            </w:pPr>
          </w:p>
        </w:tc>
        <w:tc>
          <w:tcPr>
            <w:tcW w:w="1308" w:type="dxa"/>
            <w:vMerge w:val="continue"/>
            <w:tcBorders>
              <w:top w:val="nil"/>
              <w:left w:val="nil"/>
              <w:bottom w:val="single" w:color="000000" w:sz="8" w:space="0"/>
              <w:right w:val="single" w:color="000000" w:sz="8" w:space="0"/>
            </w:tcBorders>
            <w:shd w:val="clear" w:color="auto" w:fill="auto"/>
            <w:vAlign w:val="center"/>
          </w:tcPr>
          <w:p w14:paraId="189CC401">
            <w:pPr>
              <w:jc w:val="center"/>
              <w:rPr>
                <w:rFonts w:hint="eastAsia" w:ascii="仿宋" w:hAnsi="仿宋" w:eastAsia="仿宋" w:cs="仿宋"/>
                <w:i w:val="0"/>
                <w:iCs w:val="0"/>
                <w:color w:val="000000"/>
                <w:sz w:val="24"/>
                <w:szCs w:val="24"/>
                <w:u w:val="none"/>
              </w:rPr>
            </w:pPr>
          </w:p>
        </w:tc>
        <w:tc>
          <w:tcPr>
            <w:tcW w:w="3336" w:type="dxa"/>
            <w:tcBorders>
              <w:top w:val="nil"/>
              <w:left w:val="nil"/>
              <w:bottom w:val="single" w:color="000000" w:sz="8" w:space="0"/>
              <w:right w:val="single" w:color="000000" w:sz="8" w:space="0"/>
            </w:tcBorders>
            <w:shd w:val="clear" w:color="auto" w:fill="auto"/>
            <w:vAlign w:val="center"/>
          </w:tcPr>
          <w:p w14:paraId="7481896D">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RG-MAP752(E)</w:t>
            </w:r>
          </w:p>
        </w:tc>
        <w:tc>
          <w:tcPr>
            <w:tcW w:w="1375" w:type="dxa"/>
            <w:tcBorders>
              <w:top w:val="nil"/>
              <w:left w:val="nil"/>
              <w:bottom w:val="single" w:color="000000" w:sz="8" w:space="0"/>
              <w:right w:val="single" w:color="000000" w:sz="8" w:space="0"/>
            </w:tcBorders>
            <w:shd w:val="clear" w:color="auto" w:fill="auto"/>
            <w:vAlign w:val="center"/>
          </w:tcPr>
          <w:p w14:paraId="5D39EE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r>
      <w:tr w14:paraId="360A2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D54136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w:t>
            </w:r>
          </w:p>
        </w:tc>
        <w:tc>
          <w:tcPr>
            <w:tcW w:w="1704" w:type="dxa"/>
            <w:tcBorders>
              <w:top w:val="nil"/>
              <w:left w:val="nil"/>
              <w:bottom w:val="single" w:color="000000" w:sz="8" w:space="0"/>
              <w:right w:val="single" w:color="000000" w:sz="8" w:space="0"/>
            </w:tcBorders>
            <w:shd w:val="clear" w:color="auto" w:fill="auto"/>
            <w:vAlign w:val="center"/>
          </w:tcPr>
          <w:p w14:paraId="0A78E04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放装AP</w:t>
            </w:r>
          </w:p>
        </w:tc>
        <w:tc>
          <w:tcPr>
            <w:tcW w:w="1308" w:type="dxa"/>
            <w:tcBorders>
              <w:top w:val="nil"/>
              <w:left w:val="nil"/>
              <w:bottom w:val="single" w:color="000000" w:sz="8" w:space="0"/>
              <w:right w:val="single" w:color="000000" w:sz="8" w:space="0"/>
            </w:tcBorders>
            <w:shd w:val="clear" w:color="auto" w:fill="auto"/>
            <w:vAlign w:val="center"/>
          </w:tcPr>
          <w:p w14:paraId="4BAC962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锐捷</w:t>
            </w:r>
          </w:p>
        </w:tc>
        <w:tc>
          <w:tcPr>
            <w:tcW w:w="3336" w:type="dxa"/>
            <w:tcBorders>
              <w:top w:val="nil"/>
              <w:left w:val="nil"/>
              <w:bottom w:val="single" w:color="000000" w:sz="8" w:space="0"/>
              <w:right w:val="single" w:color="000000" w:sz="8" w:space="0"/>
            </w:tcBorders>
            <w:shd w:val="clear" w:color="auto" w:fill="auto"/>
            <w:vAlign w:val="center"/>
          </w:tcPr>
          <w:p w14:paraId="28D2394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RG-AP720-L</w:t>
            </w:r>
          </w:p>
        </w:tc>
        <w:tc>
          <w:tcPr>
            <w:tcW w:w="1375" w:type="dxa"/>
            <w:tcBorders>
              <w:top w:val="nil"/>
              <w:left w:val="nil"/>
              <w:bottom w:val="single" w:color="000000" w:sz="8" w:space="0"/>
              <w:right w:val="single" w:color="000000" w:sz="8" w:space="0"/>
            </w:tcBorders>
            <w:shd w:val="clear" w:color="auto" w:fill="auto"/>
            <w:vAlign w:val="center"/>
          </w:tcPr>
          <w:p w14:paraId="16825C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43FB1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5"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7BB8DB4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61</w:t>
            </w:r>
          </w:p>
        </w:tc>
        <w:tc>
          <w:tcPr>
            <w:tcW w:w="1704" w:type="dxa"/>
            <w:tcBorders>
              <w:top w:val="nil"/>
              <w:left w:val="nil"/>
              <w:bottom w:val="single" w:color="000000" w:sz="8" w:space="0"/>
              <w:right w:val="single" w:color="000000" w:sz="8" w:space="0"/>
            </w:tcBorders>
            <w:shd w:val="clear" w:color="auto" w:fill="auto"/>
            <w:vAlign w:val="center"/>
          </w:tcPr>
          <w:p w14:paraId="4C1FC9D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POE楼层交换机</w:t>
            </w:r>
          </w:p>
        </w:tc>
        <w:tc>
          <w:tcPr>
            <w:tcW w:w="1308" w:type="dxa"/>
            <w:tcBorders>
              <w:top w:val="nil"/>
              <w:left w:val="nil"/>
              <w:bottom w:val="single" w:color="000000" w:sz="8" w:space="0"/>
              <w:right w:val="single" w:color="000000" w:sz="8" w:space="0"/>
            </w:tcBorders>
            <w:shd w:val="clear" w:color="auto" w:fill="auto"/>
            <w:vAlign w:val="center"/>
          </w:tcPr>
          <w:p w14:paraId="792534A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锐捷</w:t>
            </w:r>
          </w:p>
        </w:tc>
        <w:tc>
          <w:tcPr>
            <w:tcW w:w="3336" w:type="dxa"/>
            <w:tcBorders>
              <w:top w:val="nil"/>
              <w:left w:val="nil"/>
              <w:bottom w:val="single" w:color="000000" w:sz="8" w:space="0"/>
              <w:right w:val="single" w:color="000000" w:sz="8" w:space="0"/>
            </w:tcBorders>
            <w:shd w:val="clear" w:color="auto" w:fill="auto"/>
            <w:vAlign w:val="center"/>
          </w:tcPr>
          <w:p w14:paraId="4F368AA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RG-S2910-24GT4XS-UP-H(V3.0)</w:t>
            </w:r>
          </w:p>
        </w:tc>
        <w:tc>
          <w:tcPr>
            <w:tcW w:w="1375" w:type="dxa"/>
            <w:tcBorders>
              <w:top w:val="nil"/>
              <w:left w:val="nil"/>
              <w:bottom w:val="single" w:color="000000" w:sz="8" w:space="0"/>
              <w:right w:val="single" w:color="000000" w:sz="8" w:space="0"/>
            </w:tcBorders>
            <w:shd w:val="clear" w:color="auto" w:fill="auto"/>
            <w:vAlign w:val="center"/>
          </w:tcPr>
          <w:p w14:paraId="6356E24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r>
      <w:tr w14:paraId="73146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8A5587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w:t>
            </w:r>
          </w:p>
        </w:tc>
        <w:tc>
          <w:tcPr>
            <w:tcW w:w="1704" w:type="dxa"/>
            <w:tcBorders>
              <w:top w:val="nil"/>
              <w:left w:val="nil"/>
              <w:bottom w:val="single" w:color="000000" w:sz="8" w:space="0"/>
              <w:right w:val="single" w:color="000000" w:sz="8" w:space="0"/>
            </w:tcBorders>
            <w:shd w:val="clear" w:color="auto" w:fill="auto"/>
            <w:vAlign w:val="center"/>
          </w:tcPr>
          <w:p w14:paraId="342F09D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堡垒机</w:t>
            </w:r>
          </w:p>
        </w:tc>
        <w:tc>
          <w:tcPr>
            <w:tcW w:w="1308" w:type="dxa"/>
            <w:tcBorders>
              <w:top w:val="nil"/>
              <w:left w:val="nil"/>
              <w:bottom w:val="single" w:color="000000" w:sz="8" w:space="0"/>
              <w:right w:val="single" w:color="000000" w:sz="8" w:space="0"/>
            </w:tcBorders>
            <w:shd w:val="clear" w:color="auto" w:fill="auto"/>
            <w:vAlign w:val="center"/>
          </w:tcPr>
          <w:p w14:paraId="7BFAA0C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绿盟科技</w:t>
            </w:r>
          </w:p>
        </w:tc>
        <w:tc>
          <w:tcPr>
            <w:tcW w:w="3336" w:type="dxa"/>
            <w:tcBorders>
              <w:top w:val="nil"/>
              <w:left w:val="nil"/>
              <w:bottom w:val="single" w:color="000000" w:sz="8" w:space="0"/>
              <w:right w:val="single" w:color="000000" w:sz="8" w:space="0"/>
            </w:tcBorders>
            <w:shd w:val="clear" w:color="auto" w:fill="auto"/>
            <w:vAlign w:val="center"/>
          </w:tcPr>
          <w:p w14:paraId="24417D8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OSMSNX3-1000C</w:t>
            </w:r>
          </w:p>
        </w:tc>
        <w:tc>
          <w:tcPr>
            <w:tcW w:w="1375" w:type="dxa"/>
            <w:tcBorders>
              <w:top w:val="nil"/>
              <w:left w:val="nil"/>
              <w:bottom w:val="single" w:color="000000" w:sz="8" w:space="0"/>
              <w:right w:val="single" w:color="000000" w:sz="8" w:space="0"/>
            </w:tcBorders>
            <w:shd w:val="clear" w:color="auto" w:fill="auto"/>
            <w:vAlign w:val="center"/>
          </w:tcPr>
          <w:p w14:paraId="235908C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16B69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5C23E4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1704" w:type="dxa"/>
            <w:tcBorders>
              <w:top w:val="nil"/>
              <w:left w:val="nil"/>
              <w:bottom w:val="single" w:color="000000" w:sz="8" w:space="0"/>
              <w:right w:val="single" w:color="000000" w:sz="8" w:space="0"/>
            </w:tcBorders>
            <w:shd w:val="clear" w:color="auto" w:fill="auto"/>
            <w:vAlign w:val="center"/>
          </w:tcPr>
          <w:p w14:paraId="313B4D6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安全网闸</w:t>
            </w:r>
          </w:p>
        </w:tc>
        <w:tc>
          <w:tcPr>
            <w:tcW w:w="1308" w:type="dxa"/>
            <w:tcBorders>
              <w:top w:val="nil"/>
              <w:left w:val="nil"/>
              <w:bottom w:val="single" w:color="000000" w:sz="8" w:space="0"/>
              <w:right w:val="single" w:color="000000" w:sz="8" w:space="0"/>
            </w:tcBorders>
            <w:shd w:val="clear" w:color="auto" w:fill="auto"/>
            <w:vAlign w:val="center"/>
          </w:tcPr>
          <w:p w14:paraId="128AB64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启明星辰</w:t>
            </w:r>
          </w:p>
        </w:tc>
        <w:tc>
          <w:tcPr>
            <w:tcW w:w="3336" w:type="dxa"/>
            <w:tcBorders>
              <w:top w:val="nil"/>
              <w:left w:val="nil"/>
              <w:bottom w:val="single" w:color="000000" w:sz="8" w:space="0"/>
              <w:right w:val="single" w:color="000000" w:sz="8" w:space="0"/>
            </w:tcBorders>
            <w:shd w:val="clear" w:color="auto" w:fill="auto"/>
            <w:vAlign w:val="center"/>
          </w:tcPr>
          <w:p w14:paraId="6D66081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GAP-6000-2610BD</w:t>
            </w:r>
          </w:p>
        </w:tc>
        <w:tc>
          <w:tcPr>
            <w:tcW w:w="1375" w:type="dxa"/>
            <w:tcBorders>
              <w:top w:val="nil"/>
              <w:left w:val="nil"/>
              <w:bottom w:val="single" w:color="000000" w:sz="8" w:space="0"/>
              <w:right w:val="single" w:color="000000" w:sz="8" w:space="0"/>
            </w:tcBorders>
            <w:shd w:val="clear" w:color="auto" w:fill="auto"/>
            <w:vAlign w:val="center"/>
          </w:tcPr>
          <w:p w14:paraId="2BA191D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3C2D2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4F1397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64</w:t>
            </w:r>
          </w:p>
        </w:tc>
        <w:tc>
          <w:tcPr>
            <w:tcW w:w="1704" w:type="dxa"/>
            <w:tcBorders>
              <w:top w:val="nil"/>
              <w:left w:val="nil"/>
              <w:bottom w:val="single" w:color="000000" w:sz="8" w:space="0"/>
              <w:right w:val="single" w:color="000000" w:sz="8" w:space="0"/>
            </w:tcBorders>
            <w:shd w:val="clear" w:color="auto" w:fill="auto"/>
            <w:vAlign w:val="center"/>
          </w:tcPr>
          <w:p w14:paraId="09F6D12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SSLVPN</w:t>
            </w:r>
          </w:p>
        </w:tc>
        <w:tc>
          <w:tcPr>
            <w:tcW w:w="1308" w:type="dxa"/>
            <w:tcBorders>
              <w:top w:val="nil"/>
              <w:left w:val="nil"/>
              <w:bottom w:val="single" w:color="000000" w:sz="8" w:space="0"/>
              <w:right w:val="single" w:color="000000" w:sz="8" w:space="0"/>
            </w:tcBorders>
            <w:shd w:val="clear" w:color="auto" w:fill="auto"/>
            <w:vAlign w:val="center"/>
          </w:tcPr>
          <w:p w14:paraId="5C81088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启明星辰</w:t>
            </w:r>
          </w:p>
        </w:tc>
        <w:tc>
          <w:tcPr>
            <w:tcW w:w="3336" w:type="dxa"/>
            <w:tcBorders>
              <w:top w:val="nil"/>
              <w:left w:val="nil"/>
              <w:bottom w:val="single" w:color="000000" w:sz="8" w:space="0"/>
              <w:right w:val="single" w:color="000000" w:sz="8" w:space="0"/>
            </w:tcBorders>
            <w:shd w:val="clear" w:color="auto" w:fill="auto"/>
            <w:vAlign w:val="center"/>
          </w:tcPr>
          <w:p w14:paraId="00C2610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SAG-6000-1600</w:t>
            </w:r>
          </w:p>
        </w:tc>
        <w:tc>
          <w:tcPr>
            <w:tcW w:w="1375" w:type="dxa"/>
            <w:tcBorders>
              <w:top w:val="nil"/>
              <w:left w:val="nil"/>
              <w:bottom w:val="single" w:color="000000" w:sz="8" w:space="0"/>
              <w:right w:val="single" w:color="000000" w:sz="8" w:space="0"/>
            </w:tcBorders>
            <w:shd w:val="clear" w:color="auto" w:fill="auto"/>
            <w:vAlign w:val="center"/>
          </w:tcPr>
          <w:p w14:paraId="0101007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3173A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8F7061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w:t>
            </w:r>
          </w:p>
        </w:tc>
        <w:tc>
          <w:tcPr>
            <w:tcW w:w="1704" w:type="dxa"/>
            <w:tcBorders>
              <w:top w:val="nil"/>
              <w:left w:val="nil"/>
              <w:bottom w:val="single" w:color="000000" w:sz="8" w:space="0"/>
              <w:right w:val="single" w:color="000000" w:sz="8" w:space="0"/>
            </w:tcBorders>
            <w:shd w:val="clear" w:color="auto" w:fill="auto"/>
            <w:vAlign w:val="center"/>
          </w:tcPr>
          <w:p w14:paraId="4C6CEC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网页防篡改</w:t>
            </w:r>
          </w:p>
        </w:tc>
        <w:tc>
          <w:tcPr>
            <w:tcW w:w="1308" w:type="dxa"/>
            <w:tcBorders>
              <w:top w:val="nil"/>
              <w:left w:val="nil"/>
              <w:bottom w:val="single" w:color="000000" w:sz="8" w:space="0"/>
              <w:right w:val="single" w:color="000000" w:sz="8" w:space="0"/>
            </w:tcBorders>
            <w:shd w:val="clear" w:color="auto" w:fill="auto"/>
            <w:vAlign w:val="center"/>
          </w:tcPr>
          <w:p w14:paraId="0EDAE75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启明星辰</w:t>
            </w:r>
          </w:p>
        </w:tc>
        <w:tc>
          <w:tcPr>
            <w:tcW w:w="3336" w:type="dxa"/>
            <w:tcBorders>
              <w:top w:val="nil"/>
              <w:left w:val="nil"/>
              <w:bottom w:val="single" w:color="000000" w:sz="8" w:space="0"/>
              <w:right w:val="single" w:color="000000" w:sz="8" w:space="0"/>
            </w:tcBorders>
            <w:shd w:val="clear" w:color="auto" w:fill="auto"/>
            <w:vAlign w:val="center"/>
          </w:tcPr>
          <w:p w14:paraId="49EF2C3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WAG-WS</w:t>
            </w:r>
          </w:p>
        </w:tc>
        <w:tc>
          <w:tcPr>
            <w:tcW w:w="1375" w:type="dxa"/>
            <w:tcBorders>
              <w:top w:val="nil"/>
              <w:left w:val="nil"/>
              <w:bottom w:val="single" w:color="000000" w:sz="8" w:space="0"/>
              <w:right w:val="single" w:color="000000" w:sz="8" w:space="0"/>
            </w:tcBorders>
            <w:shd w:val="clear" w:color="auto" w:fill="auto"/>
            <w:vAlign w:val="center"/>
          </w:tcPr>
          <w:p w14:paraId="46A1D4D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7941B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82E0C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66</w:t>
            </w:r>
          </w:p>
        </w:tc>
        <w:tc>
          <w:tcPr>
            <w:tcW w:w="1704" w:type="dxa"/>
            <w:tcBorders>
              <w:top w:val="nil"/>
              <w:left w:val="nil"/>
              <w:bottom w:val="single" w:color="000000" w:sz="8" w:space="0"/>
              <w:right w:val="single" w:color="000000" w:sz="8" w:space="0"/>
            </w:tcBorders>
            <w:shd w:val="clear" w:color="auto" w:fill="auto"/>
            <w:vAlign w:val="center"/>
          </w:tcPr>
          <w:p w14:paraId="56B39FE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核心配件</w:t>
            </w:r>
          </w:p>
        </w:tc>
        <w:tc>
          <w:tcPr>
            <w:tcW w:w="1308" w:type="dxa"/>
            <w:tcBorders>
              <w:top w:val="nil"/>
              <w:left w:val="nil"/>
              <w:bottom w:val="single" w:color="000000" w:sz="8" w:space="0"/>
              <w:right w:val="single" w:color="000000" w:sz="8" w:space="0"/>
            </w:tcBorders>
            <w:shd w:val="clear" w:color="auto" w:fill="auto"/>
            <w:vAlign w:val="center"/>
          </w:tcPr>
          <w:p w14:paraId="13F73F5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UNIO</w:t>
            </w:r>
          </w:p>
        </w:tc>
        <w:tc>
          <w:tcPr>
            <w:tcW w:w="3336" w:type="dxa"/>
            <w:tcBorders>
              <w:top w:val="nil"/>
              <w:left w:val="nil"/>
              <w:bottom w:val="single" w:color="000000" w:sz="8" w:space="0"/>
              <w:right w:val="single" w:color="000000" w:sz="8" w:space="0"/>
            </w:tcBorders>
            <w:shd w:val="clear" w:color="auto" w:fill="auto"/>
            <w:vAlign w:val="center"/>
          </w:tcPr>
          <w:p w14:paraId="7571B36A">
            <w:pPr>
              <w:jc w:val="left"/>
              <w:rPr>
                <w:rFonts w:hint="eastAsia" w:ascii="仿宋" w:hAnsi="仿宋" w:eastAsia="仿宋" w:cs="仿宋"/>
                <w:i w:val="0"/>
                <w:iCs w:val="0"/>
                <w:color w:val="000000"/>
                <w:sz w:val="24"/>
                <w:szCs w:val="24"/>
                <w:u w:val="none"/>
              </w:rPr>
            </w:pPr>
          </w:p>
        </w:tc>
        <w:tc>
          <w:tcPr>
            <w:tcW w:w="1375" w:type="dxa"/>
            <w:tcBorders>
              <w:top w:val="nil"/>
              <w:left w:val="nil"/>
              <w:bottom w:val="single" w:color="000000" w:sz="8" w:space="0"/>
              <w:right w:val="single" w:color="000000" w:sz="8" w:space="0"/>
            </w:tcBorders>
            <w:shd w:val="clear" w:color="auto" w:fill="auto"/>
            <w:vAlign w:val="center"/>
          </w:tcPr>
          <w:p w14:paraId="49BE87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02C2B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1D7146C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67</w:t>
            </w:r>
          </w:p>
        </w:tc>
        <w:tc>
          <w:tcPr>
            <w:tcW w:w="1704" w:type="dxa"/>
            <w:tcBorders>
              <w:top w:val="nil"/>
              <w:left w:val="nil"/>
              <w:bottom w:val="single" w:color="000000" w:sz="8" w:space="0"/>
              <w:right w:val="single" w:color="000000" w:sz="8" w:space="0"/>
            </w:tcBorders>
            <w:shd w:val="clear" w:color="auto" w:fill="FFFFFF"/>
            <w:noWrap/>
            <w:vAlign w:val="center"/>
          </w:tcPr>
          <w:p w14:paraId="5C12EF5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数据中心防火墙</w:t>
            </w:r>
          </w:p>
        </w:tc>
        <w:tc>
          <w:tcPr>
            <w:tcW w:w="1308" w:type="dxa"/>
            <w:tcBorders>
              <w:top w:val="nil"/>
              <w:left w:val="nil"/>
              <w:bottom w:val="single" w:color="000000" w:sz="8" w:space="0"/>
              <w:right w:val="single" w:color="000000" w:sz="8" w:space="0"/>
            </w:tcBorders>
            <w:shd w:val="clear" w:color="auto" w:fill="FFFFFF"/>
            <w:vAlign w:val="center"/>
          </w:tcPr>
          <w:p w14:paraId="69F0EBE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035DABA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SecPath F5030D</w:t>
            </w:r>
          </w:p>
        </w:tc>
        <w:tc>
          <w:tcPr>
            <w:tcW w:w="1375" w:type="dxa"/>
            <w:tcBorders>
              <w:top w:val="nil"/>
              <w:left w:val="nil"/>
              <w:bottom w:val="single" w:color="000000" w:sz="8" w:space="0"/>
              <w:right w:val="single" w:color="000000" w:sz="8" w:space="0"/>
            </w:tcBorders>
            <w:shd w:val="clear" w:color="auto" w:fill="auto"/>
            <w:noWrap/>
            <w:vAlign w:val="center"/>
          </w:tcPr>
          <w:p w14:paraId="7235300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5435E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08FD776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68</w:t>
            </w:r>
          </w:p>
        </w:tc>
        <w:tc>
          <w:tcPr>
            <w:tcW w:w="1704" w:type="dxa"/>
            <w:tcBorders>
              <w:top w:val="nil"/>
              <w:left w:val="nil"/>
              <w:bottom w:val="single" w:color="000000" w:sz="8" w:space="0"/>
              <w:right w:val="single" w:color="000000" w:sz="8" w:space="0"/>
            </w:tcBorders>
            <w:shd w:val="clear" w:color="auto" w:fill="FFFFFF"/>
            <w:noWrap/>
            <w:vAlign w:val="center"/>
          </w:tcPr>
          <w:p w14:paraId="7974D45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安全管理中心</w:t>
            </w:r>
          </w:p>
        </w:tc>
        <w:tc>
          <w:tcPr>
            <w:tcW w:w="1308" w:type="dxa"/>
            <w:tcBorders>
              <w:top w:val="nil"/>
              <w:left w:val="nil"/>
              <w:bottom w:val="single" w:color="000000" w:sz="8" w:space="0"/>
              <w:right w:val="single" w:color="000000" w:sz="8" w:space="0"/>
            </w:tcBorders>
            <w:shd w:val="clear" w:color="auto" w:fill="FFFFFF"/>
            <w:vAlign w:val="center"/>
          </w:tcPr>
          <w:p w14:paraId="125850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130421D7">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SecCenter CSAP-S</w:t>
            </w:r>
          </w:p>
        </w:tc>
        <w:tc>
          <w:tcPr>
            <w:tcW w:w="1375" w:type="dxa"/>
            <w:tcBorders>
              <w:top w:val="nil"/>
              <w:left w:val="nil"/>
              <w:bottom w:val="single" w:color="000000" w:sz="8" w:space="0"/>
              <w:right w:val="single" w:color="000000" w:sz="8" w:space="0"/>
            </w:tcBorders>
            <w:shd w:val="clear" w:color="auto" w:fill="auto"/>
            <w:noWrap/>
            <w:vAlign w:val="center"/>
          </w:tcPr>
          <w:p w14:paraId="618E084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19B36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F8C399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69</w:t>
            </w:r>
          </w:p>
        </w:tc>
        <w:tc>
          <w:tcPr>
            <w:tcW w:w="1704" w:type="dxa"/>
            <w:tcBorders>
              <w:top w:val="nil"/>
              <w:left w:val="nil"/>
              <w:bottom w:val="single" w:color="000000" w:sz="8" w:space="0"/>
              <w:right w:val="single" w:color="000000" w:sz="8" w:space="0"/>
            </w:tcBorders>
            <w:shd w:val="clear" w:color="auto" w:fill="FFFFFF"/>
            <w:noWrap/>
            <w:vAlign w:val="center"/>
          </w:tcPr>
          <w:p w14:paraId="2C4A799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AAA认证系统</w:t>
            </w:r>
          </w:p>
        </w:tc>
        <w:tc>
          <w:tcPr>
            <w:tcW w:w="1308" w:type="dxa"/>
            <w:tcBorders>
              <w:top w:val="nil"/>
              <w:left w:val="nil"/>
              <w:bottom w:val="single" w:color="000000" w:sz="8" w:space="0"/>
              <w:right w:val="single" w:color="000000" w:sz="8" w:space="0"/>
            </w:tcBorders>
            <w:shd w:val="clear" w:color="auto" w:fill="FFFFFF"/>
            <w:noWrap/>
            <w:vAlign w:val="center"/>
          </w:tcPr>
          <w:p w14:paraId="234736D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31F2DD1E">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iMc</w:t>
            </w:r>
          </w:p>
        </w:tc>
        <w:tc>
          <w:tcPr>
            <w:tcW w:w="1375" w:type="dxa"/>
            <w:tcBorders>
              <w:top w:val="nil"/>
              <w:left w:val="nil"/>
              <w:bottom w:val="single" w:color="000000" w:sz="8" w:space="0"/>
              <w:right w:val="single" w:color="000000" w:sz="8" w:space="0"/>
            </w:tcBorders>
            <w:shd w:val="clear" w:color="auto" w:fill="auto"/>
            <w:noWrap/>
            <w:vAlign w:val="center"/>
          </w:tcPr>
          <w:p w14:paraId="6966822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4D381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5DA46D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70</w:t>
            </w:r>
          </w:p>
        </w:tc>
        <w:tc>
          <w:tcPr>
            <w:tcW w:w="1704" w:type="dxa"/>
            <w:tcBorders>
              <w:top w:val="nil"/>
              <w:left w:val="nil"/>
              <w:bottom w:val="single" w:color="000000" w:sz="8" w:space="0"/>
              <w:right w:val="single" w:color="000000" w:sz="8" w:space="0"/>
            </w:tcBorders>
            <w:shd w:val="clear" w:color="auto" w:fill="FFFFFF"/>
            <w:noWrap/>
            <w:vAlign w:val="center"/>
          </w:tcPr>
          <w:p w14:paraId="41402B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AAA认证承载服务器</w:t>
            </w:r>
          </w:p>
        </w:tc>
        <w:tc>
          <w:tcPr>
            <w:tcW w:w="1308" w:type="dxa"/>
            <w:tcBorders>
              <w:top w:val="nil"/>
              <w:left w:val="nil"/>
              <w:bottom w:val="single" w:color="000000" w:sz="8" w:space="0"/>
              <w:right w:val="single" w:color="000000" w:sz="8" w:space="0"/>
            </w:tcBorders>
            <w:shd w:val="clear" w:color="auto" w:fill="FFFFFF"/>
            <w:vAlign w:val="center"/>
          </w:tcPr>
          <w:p w14:paraId="477DB23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316D4C7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UniServer R4900 G3</w:t>
            </w:r>
          </w:p>
        </w:tc>
        <w:tc>
          <w:tcPr>
            <w:tcW w:w="1375" w:type="dxa"/>
            <w:tcBorders>
              <w:top w:val="nil"/>
              <w:left w:val="nil"/>
              <w:bottom w:val="single" w:color="000000" w:sz="8" w:space="0"/>
              <w:right w:val="single" w:color="000000" w:sz="8" w:space="0"/>
            </w:tcBorders>
            <w:shd w:val="clear" w:color="auto" w:fill="auto"/>
            <w:noWrap/>
            <w:vAlign w:val="center"/>
          </w:tcPr>
          <w:p w14:paraId="60F5040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47D35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A21572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71</w:t>
            </w:r>
          </w:p>
        </w:tc>
        <w:tc>
          <w:tcPr>
            <w:tcW w:w="1704" w:type="dxa"/>
            <w:tcBorders>
              <w:top w:val="nil"/>
              <w:left w:val="nil"/>
              <w:bottom w:val="single" w:color="000000" w:sz="8" w:space="0"/>
              <w:right w:val="single" w:color="000000" w:sz="8" w:space="0"/>
            </w:tcBorders>
            <w:shd w:val="clear" w:color="auto" w:fill="FFFFFF"/>
            <w:noWrap/>
            <w:vAlign w:val="center"/>
          </w:tcPr>
          <w:p w14:paraId="52E235D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流量分析平台</w:t>
            </w:r>
          </w:p>
        </w:tc>
        <w:tc>
          <w:tcPr>
            <w:tcW w:w="1308" w:type="dxa"/>
            <w:tcBorders>
              <w:top w:val="nil"/>
              <w:left w:val="nil"/>
              <w:bottom w:val="single" w:color="000000" w:sz="8" w:space="0"/>
              <w:right w:val="single" w:color="000000" w:sz="8" w:space="0"/>
            </w:tcBorders>
            <w:shd w:val="clear" w:color="auto" w:fill="FFFFFF"/>
            <w:noWrap/>
            <w:vAlign w:val="center"/>
          </w:tcPr>
          <w:p w14:paraId="2F38423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36515310">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iMC-NPD</w:t>
            </w:r>
          </w:p>
        </w:tc>
        <w:tc>
          <w:tcPr>
            <w:tcW w:w="1375" w:type="dxa"/>
            <w:tcBorders>
              <w:top w:val="nil"/>
              <w:left w:val="nil"/>
              <w:bottom w:val="single" w:color="000000" w:sz="8" w:space="0"/>
              <w:right w:val="single" w:color="000000" w:sz="8" w:space="0"/>
            </w:tcBorders>
            <w:shd w:val="clear" w:color="auto" w:fill="auto"/>
            <w:noWrap/>
            <w:vAlign w:val="center"/>
          </w:tcPr>
          <w:p w14:paraId="4FC42B8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0A289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ACF9D1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72</w:t>
            </w:r>
          </w:p>
        </w:tc>
        <w:tc>
          <w:tcPr>
            <w:tcW w:w="1704" w:type="dxa"/>
            <w:tcBorders>
              <w:top w:val="nil"/>
              <w:left w:val="nil"/>
              <w:bottom w:val="single" w:color="000000" w:sz="8" w:space="0"/>
              <w:right w:val="single" w:color="000000" w:sz="8" w:space="0"/>
            </w:tcBorders>
            <w:shd w:val="clear" w:color="auto" w:fill="FFFFFF"/>
            <w:noWrap/>
            <w:vAlign w:val="center"/>
          </w:tcPr>
          <w:p w14:paraId="6BDA937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流量分析平台承载服务器</w:t>
            </w:r>
          </w:p>
        </w:tc>
        <w:tc>
          <w:tcPr>
            <w:tcW w:w="1308" w:type="dxa"/>
            <w:tcBorders>
              <w:top w:val="nil"/>
              <w:left w:val="nil"/>
              <w:bottom w:val="single" w:color="000000" w:sz="8" w:space="0"/>
              <w:right w:val="single" w:color="000000" w:sz="8" w:space="0"/>
            </w:tcBorders>
            <w:shd w:val="clear" w:color="auto" w:fill="FFFFFF"/>
            <w:vAlign w:val="center"/>
          </w:tcPr>
          <w:p w14:paraId="6170883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2161AAE4">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UniServer R4900 G3</w:t>
            </w:r>
          </w:p>
        </w:tc>
        <w:tc>
          <w:tcPr>
            <w:tcW w:w="1375" w:type="dxa"/>
            <w:tcBorders>
              <w:top w:val="nil"/>
              <w:left w:val="nil"/>
              <w:bottom w:val="single" w:color="000000" w:sz="8" w:space="0"/>
              <w:right w:val="single" w:color="000000" w:sz="8" w:space="0"/>
            </w:tcBorders>
            <w:shd w:val="clear" w:color="auto" w:fill="auto"/>
            <w:noWrap/>
            <w:vAlign w:val="center"/>
          </w:tcPr>
          <w:p w14:paraId="18DC9B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7E95E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0B2613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73</w:t>
            </w:r>
          </w:p>
        </w:tc>
        <w:tc>
          <w:tcPr>
            <w:tcW w:w="1704" w:type="dxa"/>
            <w:tcBorders>
              <w:top w:val="nil"/>
              <w:left w:val="nil"/>
              <w:bottom w:val="single" w:color="000000" w:sz="8" w:space="0"/>
              <w:right w:val="single" w:color="000000" w:sz="8" w:space="0"/>
            </w:tcBorders>
            <w:shd w:val="clear" w:color="auto" w:fill="FFFFFF"/>
            <w:noWrap/>
            <w:vAlign w:val="center"/>
          </w:tcPr>
          <w:p w14:paraId="6135383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漏洞扫描</w:t>
            </w:r>
          </w:p>
        </w:tc>
        <w:tc>
          <w:tcPr>
            <w:tcW w:w="1308" w:type="dxa"/>
            <w:tcBorders>
              <w:top w:val="nil"/>
              <w:left w:val="nil"/>
              <w:bottom w:val="single" w:color="000000" w:sz="8" w:space="0"/>
              <w:right w:val="single" w:color="000000" w:sz="8" w:space="0"/>
            </w:tcBorders>
            <w:shd w:val="clear" w:color="auto" w:fill="FFFFFF"/>
            <w:noWrap/>
            <w:vAlign w:val="center"/>
          </w:tcPr>
          <w:p w14:paraId="5AB282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绿盟</w:t>
            </w:r>
          </w:p>
        </w:tc>
        <w:tc>
          <w:tcPr>
            <w:tcW w:w="3336" w:type="dxa"/>
            <w:tcBorders>
              <w:top w:val="nil"/>
              <w:left w:val="nil"/>
              <w:bottom w:val="single" w:color="000000" w:sz="8" w:space="0"/>
              <w:right w:val="single" w:color="000000" w:sz="8" w:space="0"/>
            </w:tcBorders>
            <w:shd w:val="clear" w:color="auto" w:fill="FFFFFF"/>
            <w:noWrap/>
            <w:vAlign w:val="center"/>
          </w:tcPr>
          <w:p w14:paraId="701B0FB4">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RASANX3-X</w:t>
            </w:r>
          </w:p>
        </w:tc>
        <w:tc>
          <w:tcPr>
            <w:tcW w:w="1375" w:type="dxa"/>
            <w:tcBorders>
              <w:top w:val="nil"/>
              <w:left w:val="nil"/>
              <w:bottom w:val="single" w:color="000000" w:sz="8" w:space="0"/>
              <w:right w:val="single" w:color="000000" w:sz="8" w:space="0"/>
            </w:tcBorders>
            <w:shd w:val="clear" w:color="auto" w:fill="auto"/>
            <w:noWrap/>
            <w:vAlign w:val="center"/>
          </w:tcPr>
          <w:p w14:paraId="133936F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06115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BBAB4F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74</w:t>
            </w:r>
          </w:p>
        </w:tc>
        <w:tc>
          <w:tcPr>
            <w:tcW w:w="1704" w:type="dxa"/>
            <w:tcBorders>
              <w:top w:val="nil"/>
              <w:left w:val="nil"/>
              <w:bottom w:val="single" w:color="000000" w:sz="8" w:space="0"/>
              <w:right w:val="single" w:color="000000" w:sz="8" w:space="0"/>
            </w:tcBorders>
            <w:shd w:val="clear" w:color="auto" w:fill="FFFFFF"/>
            <w:noWrap/>
            <w:vAlign w:val="center"/>
          </w:tcPr>
          <w:p w14:paraId="24EDB91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安全服务</w:t>
            </w:r>
          </w:p>
        </w:tc>
        <w:tc>
          <w:tcPr>
            <w:tcW w:w="1308" w:type="dxa"/>
            <w:tcBorders>
              <w:top w:val="nil"/>
              <w:left w:val="nil"/>
              <w:bottom w:val="single" w:color="000000" w:sz="8" w:space="0"/>
              <w:right w:val="single" w:color="000000" w:sz="8" w:space="0"/>
            </w:tcBorders>
            <w:shd w:val="clear" w:color="auto" w:fill="FFFFFF"/>
            <w:noWrap/>
            <w:vAlign w:val="center"/>
          </w:tcPr>
          <w:p w14:paraId="0627AF0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定制</w:t>
            </w:r>
          </w:p>
        </w:tc>
        <w:tc>
          <w:tcPr>
            <w:tcW w:w="3336" w:type="dxa"/>
            <w:tcBorders>
              <w:top w:val="nil"/>
              <w:left w:val="nil"/>
              <w:bottom w:val="single" w:color="000000" w:sz="8" w:space="0"/>
              <w:right w:val="single" w:color="000000" w:sz="8" w:space="0"/>
            </w:tcBorders>
            <w:shd w:val="clear" w:color="auto" w:fill="FFFFFF"/>
            <w:noWrap/>
            <w:vAlign w:val="center"/>
          </w:tcPr>
          <w:p w14:paraId="37BE649B">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定制</w:t>
            </w:r>
          </w:p>
        </w:tc>
        <w:tc>
          <w:tcPr>
            <w:tcW w:w="1375" w:type="dxa"/>
            <w:tcBorders>
              <w:top w:val="nil"/>
              <w:left w:val="nil"/>
              <w:bottom w:val="single" w:color="000000" w:sz="8" w:space="0"/>
              <w:right w:val="single" w:color="000000" w:sz="8" w:space="0"/>
            </w:tcBorders>
            <w:shd w:val="clear" w:color="auto" w:fill="auto"/>
            <w:noWrap/>
            <w:vAlign w:val="center"/>
          </w:tcPr>
          <w:p w14:paraId="62708EC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6BD31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3FD208A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w:t>
            </w:r>
          </w:p>
        </w:tc>
        <w:tc>
          <w:tcPr>
            <w:tcW w:w="1704" w:type="dxa"/>
            <w:tcBorders>
              <w:top w:val="nil"/>
              <w:left w:val="nil"/>
              <w:bottom w:val="single" w:color="000000" w:sz="8" w:space="0"/>
              <w:right w:val="single" w:color="000000" w:sz="8" w:space="0"/>
            </w:tcBorders>
            <w:shd w:val="clear" w:color="auto" w:fill="FFFFFF"/>
            <w:noWrap/>
            <w:vAlign w:val="center"/>
          </w:tcPr>
          <w:p w14:paraId="27B12F1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远程运维服务</w:t>
            </w:r>
          </w:p>
        </w:tc>
        <w:tc>
          <w:tcPr>
            <w:tcW w:w="1308" w:type="dxa"/>
            <w:tcBorders>
              <w:top w:val="nil"/>
              <w:left w:val="nil"/>
              <w:bottom w:val="single" w:color="000000" w:sz="8" w:space="0"/>
              <w:right w:val="single" w:color="000000" w:sz="8" w:space="0"/>
            </w:tcBorders>
            <w:shd w:val="clear" w:color="auto" w:fill="FFFFFF"/>
            <w:noWrap/>
            <w:vAlign w:val="center"/>
          </w:tcPr>
          <w:p w14:paraId="2178BF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40439A69">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iTac</w:t>
            </w:r>
          </w:p>
        </w:tc>
        <w:tc>
          <w:tcPr>
            <w:tcW w:w="1375" w:type="dxa"/>
            <w:tcBorders>
              <w:top w:val="nil"/>
              <w:left w:val="nil"/>
              <w:bottom w:val="single" w:color="000000" w:sz="8" w:space="0"/>
              <w:right w:val="single" w:color="000000" w:sz="8" w:space="0"/>
            </w:tcBorders>
            <w:shd w:val="clear" w:color="auto" w:fill="auto"/>
            <w:noWrap/>
            <w:vAlign w:val="center"/>
          </w:tcPr>
          <w:p w14:paraId="1E7896F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46FBA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0958BF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76</w:t>
            </w:r>
          </w:p>
        </w:tc>
        <w:tc>
          <w:tcPr>
            <w:tcW w:w="1704" w:type="dxa"/>
            <w:tcBorders>
              <w:top w:val="nil"/>
              <w:left w:val="nil"/>
              <w:bottom w:val="single" w:color="000000" w:sz="8" w:space="0"/>
              <w:right w:val="single" w:color="000000" w:sz="8" w:space="0"/>
            </w:tcBorders>
            <w:shd w:val="clear" w:color="auto" w:fill="FFFFFF"/>
            <w:noWrap/>
            <w:vAlign w:val="center"/>
          </w:tcPr>
          <w:p w14:paraId="0E1BBF1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存储型服务器</w:t>
            </w:r>
          </w:p>
        </w:tc>
        <w:tc>
          <w:tcPr>
            <w:tcW w:w="1308" w:type="dxa"/>
            <w:tcBorders>
              <w:top w:val="nil"/>
              <w:left w:val="nil"/>
              <w:bottom w:val="single" w:color="000000" w:sz="8" w:space="0"/>
              <w:right w:val="single" w:color="000000" w:sz="8" w:space="0"/>
            </w:tcBorders>
            <w:shd w:val="clear" w:color="auto" w:fill="FFFFFF"/>
            <w:vAlign w:val="center"/>
          </w:tcPr>
          <w:p w14:paraId="2579754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63101323">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UniServer R4900 G3</w:t>
            </w:r>
          </w:p>
        </w:tc>
        <w:tc>
          <w:tcPr>
            <w:tcW w:w="1375" w:type="dxa"/>
            <w:tcBorders>
              <w:top w:val="nil"/>
              <w:left w:val="nil"/>
              <w:bottom w:val="single" w:color="000000" w:sz="8" w:space="0"/>
              <w:right w:val="single" w:color="000000" w:sz="8" w:space="0"/>
            </w:tcBorders>
            <w:shd w:val="clear" w:color="auto" w:fill="auto"/>
            <w:noWrap/>
            <w:vAlign w:val="center"/>
          </w:tcPr>
          <w:p w14:paraId="1ED741C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552B7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A6F04C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77</w:t>
            </w:r>
          </w:p>
        </w:tc>
        <w:tc>
          <w:tcPr>
            <w:tcW w:w="1704" w:type="dxa"/>
            <w:tcBorders>
              <w:top w:val="nil"/>
              <w:left w:val="nil"/>
              <w:bottom w:val="single" w:color="000000" w:sz="8" w:space="0"/>
              <w:right w:val="single" w:color="000000" w:sz="8" w:space="0"/>
            </w:tcBorders>
            <w:shd w:val="clear" w:color="auto" w:fill="FFFFFF"/>
            <w:noWrap/>
            <w:vAlign w:val="center"/>
          </w:tcPr>
          <w:p w14:paraId="246B574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TAP交换机</w:t>
            </w:r>
          </w:p>
        </w:tc>
        <w:tc>
          <w:tcPr>
            <w:tcW w:w="1308" w:type="dxa"/>
            <w:tcBorders>
              <w:top w:val="nil"/>
              <w:left w:val="nil"/>
              <w:bottom w:val="single" w:color="000000" w:sz="8" w:space="0"/>
              <w:right w:val="single" w:color="000000" w:sz="8" w:space="0"/>
            </w:tcBorders>
            <w:shd w:val="clear" w:color="auto" w:fill="FFFFFF"/>
            <w:vAlign w:val="center"/>
          </w:tcPr>
          <w:p w14:paraId="420377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6CDFA9D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S6520X-54XG-EI-G</w:t>
            </w:r>
          </w:p>
        </w:tc>
        <w:tc>
          <w:tcPr>
            <w:tcW w:w="1375" w:type="dxa"/>
            <w:tcBorders>
              <w:top w:val="nil"/>
              <w:left w:val="nil"/>
              <w:bottom w:val="single" w:color="000000" w:sz="8" w:space="0"/>
              <w:right w:val="single" w:color="000000" w:sz="8" w:space="0"/>
            </w:tcBorders>
            <w:shd w:val="clear" w:color="auto" w:fill="auto"/>
            <w:noWrap/>
            <w:vAlign w:val="center"/>
          </w:tcPr>
          <w:p w14:paraId="6536713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2CF63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F215D1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78</w:t>
            </w:r>
          </w:p>
        </w:tc>
        <w:tc>
          <w:tcPr>
            <w:tcW w:w="1704" w:type="dxa"/>
            <w:tcBorders>
              <w:top w:val="nil"/>
              <w:left w:val="nil"/>
              <w:bottom w:val="single" w:color="000000" w:sz="8" w:space="0"/>
              <w:right w:val="single" w:color="000000" w:sz="8" w:space="0"/>
            </w:tcBorders>
            <w:shd w:val="clear" w:color="auto" w:fill="FFFFFF"/>
            <w:noWrap/>
            <w:vAlign w:val="center"/>
          </w:tcPr>
          <w:p w14:paraId="514BE85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网络综合管理平台服务器</w:t>
            </w:r>
          </w:p>
        </w:tc>
        <w:tc>
          <w:tcPr>
            <w:tcW w:w="1308" w:type="dxa"/>
            <w:tcBorders>
              <w:top w:val="nil"/>
              <w:left w:val="nil"/>
              <w:bottom w:val="single" w:color="000000" w:sz="8" w:space="0"/>
              <w:right w:val="single" w:color="000000" w:sz="8" w:space="0"/>
            </w:tcBorders>
            <w:shd w:val="clear" w:color="auto" w:fill="FFFFFF"/>
            <w:vAlign w:val="center"/>
          </w:tcPr>
          <w:p w14:paraId="051B069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1F41FD75">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UniServer R4900 G3</w:t>
            </w:r>
          </w:p>
        </w:tc>
        <w:tc>
          <w:tcPr>
            <w:tcW w:w="1375" w:type="dxa"/>
            <w:tcBorders>
              <w:top w:val="nil"/>
              <w:left w:val="nil"/>
              <w:bottom w:val="single" w:color="000000" w:sz="8" w:space="0"/>
              <w:right w:val="single" w:color="000000" w:sz="8" w:space="0"/>
            </w:tcBorders>
            <w:shd w:val="clear" w:color="auto" w:fill="auto"/>
            <w:noWrap/>
            <w:vAlign w:val="center"/>
          </w:tcPr>
          <w:p w14:paraId="3D24A9A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r>
      <w:tr w14:paraId="55F37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6F96EEF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79</w:t>
            </w:r>
          </w:p>
        </w:tc>
        <w:tc>
          <w:tcPr>
            <w:tcW w:w="1704" w:type="dxa"/>
            <w:tcBorders>
              <w:top w:val="nil"/>
              <w:left w:val="nil"/>
              <w:bottom w:val="single" w:color="000000" w:sz="8" w:space="0"/>
              <w:right w:val="single" w:color="000000" w:sz="8" w:space="0"/>
            </w:tcBorders>
            <w:shd w:val="clear" w:color="auto" w:fill="FFFFFF"/>
            <w:noWrap/>
            <w:vAlign w:val="center"/>
          </w:tcPr>
          <w:p w14:paraId="215CA37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数据中心核心交换机</w:t>
            </w:r>
          </w:p>
        </w:tc>
        <w:tc>
          <w:tcPr>
            <w:tcW w:w="1308" w:type="dxa"/>
            <w:tcBorders>
              <w:top w:val="nil"/>
              <w:left w:val="nil"/>
              <w:bottom w:val="single" w:color="000000" w:sz="8" w:space="0"/>
              <w:right w:val="single" w:color="000000" w:sz="8" w:space="0"/>
            </w:tcBorders>
            <w:shd w:val="clear" w:color="auto" w:fill="FFFFFF"/>
            <w:vAlign w:val="center"/>
          </w:tcPr>
          <w:p w14:paraId="52C35AD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57B350DA">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S10506X</w:t>
            </w:r>
          </w:p>
        </w:tc>
        <w:tc>
          <w:tcPr>
            <w:tcW w:w="1375" w:type="dxa"/>
            <w:tcBorders>
              <w:top w:val="nil"/>
              <w:left w:val="nil"/>
              <w:bottom w:val="single" w:color="000000" w:sz="8" w:space="0"/>
              <w:right w:val="single" w:color="000000" w:sz="8" w:space="0"/>
            </w:tcBorders>
            <w:shd w:val="clear" w:color="auto" w:fill="auto"/>
            <w:noWrap/>
            <w:vAlign w:val="center"/>
          </w:tcPr>
          <w:p w14:paraId="1385246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4190E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C73488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w:t>
            </w:r>
          </w:p>
        </w:tc>
        <w:tc>
          <w:tcPr>
            <w:tcW w:w="1704" w:type="dxa"/>
            <w:tcBorders>
              <w:top w:val="nil"/>
              <w:left w:val="nil"/>
              <w:bottom w:val="single" w:color="000000" w:sz="8" w:space="0"/>
              <w:right w:val="single" w:color="000000" w:sz="8" w:space="0"/>
            </w:tcBorders>
            <w:shd w:val="clear" w:color="auto" w:fill="FFFFFF"/>
            <w:noWrap/>
            <w:vAlign w:val="center"/>
          </w:tcPr>
          <w:p w14:paraId="3B94D11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服务器接入交换机</w:t>
            </w:r>
          </w:p>
        </w:tc>
        <w:tc>
          <w:tcPr>
            <w:tcW w:w="1308" w:type="dxa"/>
            <w:tcBorders>
              <w:top w:val="nil"/>
              <w:left w:val="nil"/>
              <w:bottom w:val="single" w:color="000000" w:sz="8" w:space="0"/>
              <w:right w:val="single" w:color="000000" w:sz="8" w:space="0"/>
            </w:tcBorders>
            <w:shd w:val="clear" w:color="auto" w:fill="FFFFFF"/>
            <w:vAlign w:val="center"/>
          </w:tcPr>
          <w:p w14:paraId="6DCE634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auto"/>
            <w:noWrap/>
            <w:vAlign w:val="center"/>
          </w:tcPr>
          <w:p w14:paraId="11E62BB2">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S7506E-X</w:t>
            </w:r>
          </w:p>
        </w:tc>
        <w:tc>
          <w:tcPr>
            <w:tcW w:w="1375" w:type="dxa"/>
            <w:tcBorders>
              <w:top w:val="nil"/>
              <w:left w:val="nil"/>
              <w:bottom w:val="single" w:color="000000" w:sz="8" w:space="0"/>
              <w:right w:val="single" w:color="000000" w:sz="8" w:space="0"/>
            </w:tcBorders>
            <w:shd w:val="clear" w:color="auto" w:fill="auto"/>
            <w:noWrap/>
            <w:vAlign w:val="center"/>
          </w:tcPr>
          <w:p w14:paraId="4EB5B33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3E522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460D46E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81</w:t>
            </w:r>
          </w:p>
        </w:tc>
        <w:tc>
          <w:tcPr>
            <w:tcW w:w="1704" w:type="dxa"/>
            <w:tcBorders>
              <w:top w:val="nil"/>
              <w:left w:val="nil"/>
              <w:bottom w:val="single" w:color="000000" w:sz="8" w:space="0"/>
              <w:right w:val="single" w:color="000000" w:sz="8" w:space="0"/>
            </w:tcBorders>
            <w:shd w:val="clear" w:color="auto" w:fill="FFFFFF"/>
            <w:noWrap/>
            <w:vAlign w:val="center"/>
          </w:tcPr>
          <w:p w14:paraId="297BBA6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原S7506E-X交换机扩容</w:t>
            </w:r>
          </w:p>
        </w:tc>
        <w:tc>
          <w:tcPr>
            <w:tcW w:w="1308" w:type="dxa"/>
            <w:tcBorders>
              <w:top w:val="nil"/>
              <w:left w:val="nil"/>
              <w:bottom w:val="single" w:color="000000" w:sz="8" w:space="0"/>
              <w:right w:val="single" w:color="000000" w:sz="8" w:space="0"/>
            </w:tcBorders>
            <w:shd w:val="clear" w:color="auto" w:fill="FFFFFF"/>
            <w:noWrap/>
            <w:vAlign w:val="center"/>
          </w:tcPr>
          <w:p w14:paraId="263EBAB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FFFFFF"/>
            <w:noWrap/>
            <w:vAlign w:val="center"/>
          </w:tcPr>
          <w:p w14:paraId="54C1E547">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LSQM2TGS32QSXSG0</w:t>
            </w:r>
          </w:p>
        </w:tc>
        <w:tc>
          <w:tcPr>
            <w:tcW w:w="1375" w:type="dxa"/>
            <w:tcBorders>
              <w:top w:val="nil"/>
              <w:left w:val="nil"/>
              <w:bottom w:val="single" w:color="000000" w:sz="8" w:space="0"/>
              <w:right w:val="single" w:color="000000" w:sz="8" w:space="0"/>
            </w:tcBorders>
            <w:shd w:val="clear" w:color="auto" w:fill="FFFFFF"/>
            <w:noWrap/>
            <w:vAlign w:val="center"/>
          </w:tcPr>
          <w:p w14:paraId="6EB61C6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608D2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AE10E2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82</w:t>
            </w:r>
          </w:p>
        </w:tc>
        <w:tc>
          <w:tcPr>
            <w:tcW w:w="1704" w:type="dxa"/>
            <w:tcBorders>
              <w:top w:val="nil"/>
              <w:left w:val="nil"/>
              <w:bottom w:val="single" w:color="000000" w:sz="8" w:space="0"/>
              <w:right w:val="single" w:color="000000" w:sz="8" w:space="0"/>
            </w:tcBorders>
            <w:shd w:val="clear" w:color="auto" w:fill="FFFFFF"/>
            <w:noWrap/>
            <w:vAlign w:val="center"/>
          </w:tcPr>
          <w:p w14:paraId="4AA25B8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10G单模模块</w:t>
            </w:r>
          </w:p>
        </w:tc>
        <w:tc>
          <w:tcPr>
            <w:tcW w:w="1308" w:type="dxa"/>
            <w:tcBorders>
              <w:top w:val="nil"/>
              <w:left w:val="nil"/>
              <w:bottom w:val="single" w:color="000000" w:sz="8" w:space="0"/>
              <w:right w:val="single" w:color="000000" w:sz="8" w:space="0"/>
            </w:tcBorders>
            <w:shd w:val="clear" w:color="auto" w:fill="FFFFFF"/>
            <w:noWrap/>
            <w:vAlign w:val="center"/>
          </w:tcPr>
          <w:p w14:paraId="43DE23A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FFFFFF"/>
            <w:noWrap/>
            <w:vAlign w:val="center"/>
          </w:tcPr>
          <w:p w14:paraId="1ED16E50">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SFP-XG-LX-SM1310-D</w:t>
            </w:r>
          </w:p>
        </w:tc>
        <w:tc>
          <w:tcPr>
            <w:tcW w:w="1375" w:type="dxa"/>
            <w:tcBorders>
              <w:top w:val="nil"/>
              <w:left w:val="nil"/>
              <w:bottom w:val="single" w:color="000000" w:sz="8" w:space="0"/>
              <w:right w:val="single" w:color="000000" w:sz="8" w:space="0"/>
            </w:tcBorders>
            <w:shd w:val="clear" w:color="auto" w:fill="FFFFFF"/>
            <w:noWrap/>
            <w:vAlign w:val="center"/>
          </w:tcPr>
          <w:p w14:paraId="1AFF0F0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54</w:t>
            </w:r>
          </w:p>
        </w:tc>
      </w:tr>
      <w:tr w14:paraId="067CB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5D7919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83</w:t>
            </w:r>
          </w:p>
        </w:tc>
        <w:tc>
          <w:tcPr>
            <w:tcW w:w="1704" w:type="dxa"/>
            <w:tcBorders>
              <w:top w:val="nil"/>
              <w:left w:val="nil"/>
              <w:bottom w:val="single" w:color="000000" w:sz="8" w:space="0"/>
              <w:right w:val="single" w:color="000000" w:sz="8" w:space="0"/>
            </w:tcBorders>
            <w:shd w:val="clear" w:color="auto" w:fill="FFFFFF"/>
            <w:noWrap/>
            <w:vAlign w:val="center"/>
          </w:tcPr>
          <w:p w14:paraId="58515DD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40G单模模块</w:t>
            </w:r>
          </w:p>
        </w:tc>
        <w:tc>
          <w:tcPr>
            <w:tcW w:w="1308" w:type="dxa"/>
            <w:tcBorders>
              <w:top w:val="nil"/>
              <w:left w:val="nil"/>
              <w:bottom w:val="single" w:color="000000" w:sz="8" w:space="0"/>
              <w:right w:val="single" w:color="000000" w:sz="8" w:space="0"/>
            </w:tcBorders>
            <w:shd w:val="clear" w:color="auto" w:fill="FFFFFF"/>
            <w:noWrap/>
            <w:vAlign w:val="center"/>
          </w:tcPr>
          <w:p w14:paraId="3F3BD35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FFFFFF"/>
            <w:noWrap/>
            <w:vAlign w:val="center"/>
          </w:tcPr>
          <w:p w14:paraId="15487423">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QSFP-40G-LR4L-WDM1300</w:t>
            </w:r>
          </w:p>
        </w:tc>
        <w:tc>
          <w:tcPr>
            <w:tcW w:w="1375" w:type="dxa"/>
            <w:tcBorders>
              <w:top w:val="nil"/>
              <w:left w:val="nil"/>
              <w:bottom w:val="single" w:color="000000" w:sz="8" w:space="0"/>
              <w:right w:val="single" w:color="000000" w:sz="8" w:space="0"/>
            </w:tcBorders>
            <w:shd w:val="clear" w:color="auto" w:fill="FFFFFF"/>
            <w:noWrap/>
            <w:vAlign w:val="center"/>
          </w:tcPr>
          <w:p w14:paraId="02A0199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r>
      <w:tr w14:paraId="7E3F7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DBC199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84</w:t>
            </w:r>
          </w:p>
        </w:tc>
        <w:tc>
          <w:tcPr>
            <w:tcW w:w="1704" w:type="dxa"/>
            <w:tcBorders>
              <w:top w:val="nil"/>
              <w:left w:val="nil"/>
              <w:bottom w:val="single" w:color="000000" w:sz="8" w:space="0"/>
              <w:right w:val="single" w:color="000000" w:sz="8" w:space="0"/>
            </w:tcBorders>
            <w:shd w:val="clear" w:color="auto" w:fill="FFFFFF"/>
            <w:noWrap/>
            <w:vAlign w:val="center"/>
          </w:tcPr>
          <w:p w14:paraId="74516FE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40G多模模块</w:t>
            </w:r>
          </w:p>
        </w:tc>
        <w:tc>
          <w:tcPr>
            <w:tcW w:w="1308" w:type="dxa"/>
            <w:tcBorders>
              <w:top w:val="nil"/>
              <w:left w:val="nil"/>
              <w:bottom w:val="single" w:color="000000" w:sz="8" w:space="0"/>
              <w:right w:val="single" w:color="000000" w:sz="8" w:space="0"/>
            </w:tcBorders>
            <w:shd w:val="clear" w:color="auto" w:fill="FFFFFF"/>
            <w:noWrap/>
            <w:vAlign w:val="center"/>
          </w:tcPr>
          <w:p w14:paraId="5B26E4E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FFFFFF"/>
            <w:noWrap/>
            <w:vAlign w:val="center"/>
          </w:tcPr>
          <w:p w14:paraId="4B0F92D4">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QSFP-40G-SR4-MM850</w:t>
            </w:r>
          </w:p>
        </w:tc>
        <w:tc>
          <w:tcPr>
            <w:tcW w:w="1375" w:type="dxa"/>
            <w:tcBorders>
              <w:top w:val="nil"/>
              <w:left w:val="nil"/>
              <w:bottom w:val="single" w:color="000000" w:sz="8" w:space="0"/>
              <w:right w:val="single" w:color="000000" w:sz="8" w:space="0"/>
            </w:tcBorders>
            <w:shd w:val="clear" w:color="auto" w:fill="FFFFFF"/>
            <w:noWrap/>
            <w:vAlign w:val="center"/>
          </w:tcPr>
          <w:p w14:paraId="2FE4982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r>
      <w:tr w14:paraId="7E869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564D67A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w:t>
            </w:r>
          </w:p>
        </w:tc>
        <w:tc>
          <w:tcPr>
            <w:tcW w:w="1704" w:type="dxa"/>
            <w:tcBorders>
              <w:top w:val="nil"/>
              <w:left w:val="nil"/>
              <w:bottom w:val="single" w:color="000000" w:sz="8" w:space="0"/>
              <w:right w:val="single" w:color="000000" w:sz="8" w:space="0"/>
            </w:tcBorders>
            <w:shd w:val="clear" w:color="auto" w:fill="FFFFFF"/>
            <w:noWrap/>
            <w:vAlign w:val="center"/>
          </w:tcPr>
          <w:p w14:paraId="0A5BD6B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光纤交换机</w:t>
            </w:r>
          </w:p>
        </w:tc>
        <w:tc>
          <w:tcPr>
            <w:tcW w:w="1308" w:type="dxa"/>
            <w:tcBorders>
              <w:top w:val="nil"/>
              <w:left w:val="nil"/>
              <w:bottom w:val="single" w:color="000000" w:sz="8" w:space="0"/>
              <w:right w:val="single" w:color="000000" w:sz="8" w:space="0"/>
            </w:tcBorders>
            <w:shd w:val="clear" w:color="auto" w:fill="FFFFFF"/>
            <w:noWrap/>
            <w:vAlign w:val="center"/>
          </w:tcPr>
          <w:p w14:paraId="3B049C2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H3C</w:t>
            </w:r>
          </w:p>
        </w:tc>
        <w:tc>
          <w:tcPr>
            <w:tcW w:w="3336" w:type="dxa"/>
            <w:tcBorders>
              <w:top w:val="nil"/>
              <w:left w:val="nil"/>
              <w:bottom w:val="single" w:color="000000" w:sz="8" w:space="0"/>
              <w:right w:val="single" w:color="000000" w:sz="8" w:space="0"/>
            </w:tcBorders>
            <w:shd w:val="clear" w:color="auto" w:fill="FFFFFF"/>
            <w:noWrap/>
            <w:vAlign w:val="center"/>
          </w:tcPr>
          <w:p w14:paraId="7F455D66">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CN3360B</w:t>
            </w:r>
          </w:p>
        </w:tc>
        <w:tc>
          <w:tcPr>
            <w:tcW w:w="1375" w:type="dxa"/>
            <w:tcBorders>
              <w:top w:val="nil"/>
              <w:left w:val="nil"/>
              <w:bottom w:val="single" w:color="000000" w:sz="8" w:space="0"/>
              <w:right w:val="single" w:color="000000" w:sz="8" w:space="0"/>
            </w:tcBorders>
            <w:shd w:val="clear" w:color="auto" w:fill="FFFFFF"/>
            <w:noWrap/>
            <w:vAlign w:val="center"/>
          </w:tcPr>
          <w:p w14:paraId="4E4411E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r>
      <w:tr w14:paraId="45F38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03" w:type="dxa"/>
            <w:tcBorders>
              <w:top w:val="nil"/>
              <w:left w:val="single" w:color="000000" w:sz="8" w:space="0"/>
              <w:bottom w:val="single" w:color="000000" w:sz="8" w:space="0"/>
              <w:right w:val="single" w:color="000000" w:sz="8" w:space="0"/>
            </w:tcBorders>
            <w:shd w:val="clear" w:color="auto" w:fill="auto"/>
            <w:vAlign w:val="center"/>
          </w:tcPr>
          <w:p w14:paraId="26FA496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86</w:t>
            </w:r>
          </w:p>
        </w:tc>
        <w:tc>
          <w:tcPr>
            <w:tcW w:w="1704" w:type="dxa"/>
            <w:tcBorders>
              <w:top w:val="nil"/>
              <w:left w:val="nil"/>
              <w:bottom w:val="single" w:color="000000" w:sz="8" w:space="0"/>
              <w:right w:val="single" w:color="000000" w:sz="8" w:space="0"/>
            </w:tcBorders>
            <w:shd w:val="clear" w:color="auto" w:fill="FFFFFF"/>
            <w:noWrap/>
            <w:vAlign w:val="center"/>
          </w:tcPr>
          <w:p w14:paraId="01F4E12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NTP 网络时间服务器</w:t>
            </w:r>
          </w:p>
        </w:tc>
        <w:tc>
          <w:tcPr>
            <w:tcW w:w="1308" w:type="dxa"/>
            <w:tcBorders>
              <w:top w:val="nil"/>
              <w:left w:val="nil"/>
              <w:bottom w:val="single" w:color="000000" w:sz="8" w:space="0"/>
              <w:right w:val="single" w:color="000000" w:sz="8" w:space="0"/>
            </w:tcBorders>
            <w:shd w:val="clear" w:color="auto" w:fill="FFFFFF"/>
            <w:noWrap/>
            <w:vAlign w:val="center"/>
          </w:tcPr>
          <w:p w14:paraId="74538AEE">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百斗时频</w:t>
            </w:r>
          </w:p>
        </w:tc>
        <w:tc>
          <w:tcPr>
            <w:tcW w:w="3336" w:type="dxa"/>
            <w:tcBorders>
              <w:top w:val="nil"/>
              <w:left w:val="nil"/>
              <w:bottom w:val="single" w:color="000000" w:sz="8" w:space="0"/>
              <w:right w:val="single" w:color="000000" w:sz="8" w:space="0"/>
            </w:tcBorders>
            <w:shd w:val="clear" w:color="auto" w:fill="FFFFFF"/>
            <w:noWrap/>
            <w:vAlign w:val="center"/>
          </w:tcPr>
          <w:p w14:paraId="41A43E84">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XBD211</w:t>
            </w:r>
          </w:p>
        </w:tc>
        <w:tc>
          <w:tcPr>
            <w:tcW w:w="1375" w:type="dxa"/>
            <w:tcBorders>
              <w:top w:val="nil"/>
              <w:left w:val="nil"/>
              <w:bottom w:val="single" w:color="000000" w:sz="8" w:space="0"/>
              <w:right w:val="single" w:color="000000" w:sz="8" w:space="0"/>
            </w:tcBorders>
            <w:shd w:val="clear" w:color="auto" w:fill="FFFFFF"/>
            <w:noWrap/>
            <w:vAlign w:val="center"/>
          </w:tcPr>
          <w:p w14:paraId="520770A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r>
      <w:tr w14:paraId="0F900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7051" w:type="dxa"/>
            <w:gridSpan w:val="4"/>
            <w:tcBorders>
              <w:top w:val="nil"/>
              <w:left w:val="single" w:color="000000" w:sz="8" w:space="0"/>
              <w:bottom w:val="single" w:color="000000" w:sz="8" w:space="0"/>
              <w:right w:val="single" w:color="000000" w:sz="8" w:space="0"/>
            </w:tcBorders>
            <w:shd w:val="clear" w:color="auto" w:fill="FFFFFF"/>
            <w:noWrap/>
            <w:vAlign w:val="center"/>
          </w:tcPr>
          <w:p w14:paraId="4522D1E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合计:</w:t>
            </w:r>
          </w:p>
        </w:tc>
        <w:tc>
          <w:tcPr>
            <w:tcW w:w="1375" w:type="dxa"/>
            <w:tcBorders>
              <w:top w:val="nil"/>
              <w:left w:val="nil"/>
              <w:bottom w:val="single" w:color="000000" w:sz="8" w:space="0"/>
              <w:right w:val="single" w:color="000000" w:sz="8" w:space="0"/>
            </w:tcBorders>
            <w:shd w:val="clear" w:color="auto" w:fill="FFFFFF"/>
            <w:noWrap/>
            <w:vAlign w:val="center"/>
          </w:tcPr>
          <w:p w14:paraId="0B34FE98">
            <w:pPr>
              <w:keepNext w:val="0"/>
              <w:keepLines w:val="0"/>
              <w:widowControl/>
              <w:suppressLineNumbers w:val="0"/>
              <w:jc w:val="righ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2322</w:t>
            </w:r>
          </w:p>
        </w:tc>
      </w:tr>
    </w:tbl>
    <w:p w14:paraId="7121E387">
      <w:pPr>
        <w:widowControl/>
        <w:jc w:val="left"/>
        <w:rPr>
          <w:rFonts w:ascii="仿宋" w:hAnsi="仿宋" w:eastAsia="仿宋"/>
          <w:sz w:val="32"/>
          <w:szCs w:val="32"/>
        </w:rPr>
      </w:pPr>
      <w:r>
        <w:rPr>
          <w:rFonts w:hint="eastAsia" w:ascii="仿宋" w:hAnsi="仿宋" w:eastAsia="仿宋"/>
          <w:sz w:val="32"/>
          <w:szCs w:val="32"/>
        </w:rPr>
        <w:br w:type="page"/>
      </w:r>
    </w:p>
    <w:p w14:paraId="7A9CA7A4">
      <w:pPr>
        <w:ind w:firstLine="720" w:firstLineChars="200"/>
        <w:rPr>
          <w:rFonts w:ascii="微软雅黑" w:hAnsi="微软雅黑" w:eastAsia="微软雅黑" w:cs="宋体"/>
          <w:b/>
          <w:bCs/>
          <w:color w:val="000000"/>
          <w:kern w:val="0"/>
          <w:sz w:val="36"/>
          <w:szCs w:val="36"/>
          <w:shd w:val="clear" w:color="auto" w:fill="FFFFFF"/>
          <w:lang w:bidi="ar"/>
        </w:rPr>
      </w:pPr>
      <w:r>
        <w:rPr>
          <w:rFonts w:hint="eastAsia" w:ascii="微软雅黑" w:hAnsi="微软雅黑" w:eastAsia="微软雅黑" w:cs="宋体"/>
          <w:b/>
          <w:bCs/>
          <w:color w:val="000000"/>
          <w:kern w:val="0"/>
          <w:sz w:val="36"/>
          <w:szCs w:val="36"/>
          <w:shd w:val="clear" w:color="auto" w:fill="FFFFFF"/>
          <w:lang w:bidi="ar"/>
        </w:rPr>
        <w:t>第二章 评分标准</w:t>
      </w:r>
    </w:p>
    <w:p w14:paraId="320433F2">
      <w:pPr>
        <w:ind w:firstLine="643" w:firstLineChars="200"/>
        <w:rPr>
          <w:rFonts w:ascii="仿宋" w:hAnsi="仿宋" w:eastAsia="仿宋"/>
          <w:b/>
          <w:bCs/>
          <w:sz w:val="32"/>
          <w:szCs w:val="32"/>
        </w:rPr>
      </w:pPr>
      <w:r>
        <w:rPr>
          <w:rFonts w:hint="eastAsia" w:ascii="仿宋" w:hAnsi="仿宋" w:eastAsia="仿宋"/>
          <w:b/>
          <w:bCs/>
          <w:sz w:val="32"/>
          <w:szCs w:val="32"/>
        </w:rPr>
        <w:t>1、</w:t>
      </w:r>
      <w:r>
        <w:rPr>
          <w:rFonts w:ascii="仿宋" w:hAnsi="仿宋" w:eastAsia="仿宋"/>
          <w:b/>
          <w:bCs/>
          <w:sz w:val="32"/>
          <w:szCs w:val="32"/>
        </w:rPr>
        <w:t>商务/技术部分（满分 70 分）</w:t>
      </w:r>
    </w:p>
    <w:p w14:paraId="6649929E">
      <w:pPr>
        <w:ind w:firstLine="640" w:firstLineChars="200"/>
        <w:rPr>
          <w:rFonts w:ascii="仿宋" w:hAnsi="仿宋" w:eastAsia="仿宋"/>
          <w:sz w:val="32"/>
          <w:szCs w:val="32"/>
        </w:rPr>
      </w:pPr>
      <w:r>
        <w:rPr>
          <w:rFonts w:ascii="仿宋" w:hAnsi="仿宋" w:eastAsia="仿宋"/>
          <w:sz w:val="32"/>
          <w:szCs w:val="32"/>
        </w:rPr>
        <w:t>评分细则如下：</w:t>
      </w:r>
    </w:p>
    <w:tbl>
      <w:tblPr>
        <w:tblStyle w:val="40"/>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185"/>
        <w:gridCol w:w="1699"/>
        <w:gridCol w:w="5929"/>
      </w:tblGrid>
      <w:tr w14:paraId="156B4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89" w:type="dxa"/>
            <w:gridSpan w:val="2"/>
            <w:vAlign w:val="center"/>
          </w:tcPr>
          <w:p w14:paraId="34A567EA">
            <w:pPr>
              <w:pStyle w:val="41"/>
              <w:spacing w:before="143"/>
              <w:ind w:left="369" w:firstLine="233" w:firstLineChars="100"/>
              <w:jc w:val="center"/>
              <w:rPr>
                <w:rFonts w:ascii="仿宋" w:hAnsi="仿宋" w:eastAsia="仿宋"/>
                <w:b/>
                <w:bCs/>
                <w:sz w:val="24"/>
                <w:szCs w:val="24"/>
                <w:lang w:eastAsia="en-US"/>
              </w:rPr>
            </w:pPr>
            <w:r>
              <w:rPr>
                <w:rFonts w:ascii="仿宋" w:hAnsi="仿宋" w:eastAsia="仿宋"/>
                <w:b/>
                <w:bCs/>
                <w:spacing w:val="-4"/>
                <w:sz w:val="24"/>
                <w:szCs w:val="24"/>
                <w:lang w:eastAsia="en-US"/>
              </w:rPr>
              <w:t>条款号</w:t>
            </w:r>
          </w:p>
        </w:tc>
        <w:tc>
          <w:tcPr>
            <w:tcW w:w="1699" w:type="dxa"/>
            <w:vAlign w:val="center"/>
          </w:tcPr>
          <w:p w14:paraId="48903ADF">
            <w:pPr>
              <w:pStyle w:val="41"/>
              <w:spacing w:before="143"/>
              <w:ind w:left="369"/>
              <w:jc w:val="center"/>
              <w:rPr>
                <w:rFonts w:ascii="仿宋" w:hAnsi="仿宋" w:eastAsia="仿宋"/>
                <w:b/>
                <w:bCs/>
                <w:sz w:val="24"/>
                <w:szCs w:val="24"/>
                <w:lang w:eastAsia="en-US"/>
              </w:rPr>
            </w:pPr>
            <w:r>
              <w:rPr>
                <w:rFonts w:ascii="仿宋" w:hAnsi="仿宋" w:eastAsia="仿宋"/>
                <w:b/>
                <w:bCs/>
                <w:spacing w:val="-3"/>
                <w:sz w:val="24"/>
                <w:szCs w:val="24"/>
                <w:lang w:eastAsia="en-US"/>
              </w:rPr>
              <w:t>评分因素</w:t>
            </w:r>
          </w:p>
        </w:tc>
        <w:tc>
          <w:tcPr>
            <w:tcW w:w="5929" w:type="dxa"/>
            <w:vAlign w:val="center"/>
          </w:tcPr>
          <w:p w14:paraId="602F660F">
            <w:pPr>
              <w:pStyle w:val="41"/>
              <w:spacing w:before="143"/>
              <w:ind w:right="2322"/>
              <w:jc w:val="center"/>
              <w:rPr>
                <w:rFonts w:ascii="仿宋" w:hAnsi="仿宋" w:eastAsia="仿宋"/>
                <w:b/>
                <w:bCs/>
                <w:sz w:val="24"/>
                <w:szCs w:val="24"/>
                <w:lang w:eastAsia="en-US"/>
              </w:rPr>
            </w:pPr>
            <w:r>
              <w:rPr>
                <w:rFonts w:ascii="仿宋" w:hAnsi="仿宋" w:eastAsia="仿宋"/>
                <w:b/>
                <w:bCs/>
                <w:spacing w:val="-3"/>
                <w:sz w:val="24"/>
                <w:szCs w:val="24"/>
                <w:lang w:eastAsia="en-US"/>
              </w:rPr>
              <w:t>评分标准</w:t>
            </w:r>
          </w:p>
        </w:tc>
      </w:tr>
      <w:tr w14:paraId="4A51E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restart"/>
            <w:vAlign w:val="center"/>
          </w:tcPr>
          <w:p w14:paraId="4E9AA7D8">
            <w:pPr>
              <w:pStyle w:val="41"/>
              <w:jc w:val="center"/>
              <w:rPr>
                <w:rFonts w:ascii="仿宋" w:hAnsi="仿宋" w:eastAsia="仿宋"/>
                <w:sz w:val="24"/>
                <w:szCs w:val="24"/>
                <w:lang w:eastAsia="en-US"/>
              </w:rPr>
            </w:pPr>
            <w:r>
              <w:rPr>
                <w:rFonts w:hint="eastAsia" w:ascii="仿宋" w:hAnsi="仿宋" w:eastAsia="仿宋"/>
                <w:sz w:val="24"/>
                <w:szCs w:val="24"/>
                <w:lang w:eastAsia="en-US"/>
              </w:rPr>
              <w:t>1</w:t>
            </w:r>
          </w:p>
        </w:tc>
        <w:tc>
          <w:tcPr>
            <w:tcW w:w="1185" w:type="dxa"/>
            <w:vMerge w:val="restart"/>
            <w:vAlign w:val="center"/>
          </w:tcPr>
          <w:p w14:paraId="6643F9AE">
            <w:pPr>
              <w:pStyle w:val="41"/>
              <w:spacing w:line="304" w:lineRule="auto"/>
              <w:ind w:left="162" w:right="150"/>
              <w:jc w:val="both"/>
              <w:rPr>
                <w:rFonts w:ascii="仿宋" w:hAnsi="仿宋" w:eastAsia="仿宋"/>
                <w:spacing w:val="-6"/>
                <w:sz w:val="24"/>
                <w:szCs w:val="24"/>
                <w:lang w:eastAsia="en-US"/>
              </w:rPr>
            </w:pPr>
            <w:r>
              <w:rPr>
                <w:rFonts w:ascii="仿宋" w:hAnsi="仿宋" w:eastAsia="仿宋"/>
                <w:spacing w:val="-4"/>
                <w:sz w:val="24"/>
                <w:szCs w:val="24"/>
                <w:lang w:eastAsia="en-US"/>
              </w:rPr>
              <w:t>技术部分评分</w:t>
            </w:r>
            <w:r>
              <w:rPr>
                <w:rFonts w:ascii="仿宋" w:hAnsi="仿宋" w:eastAsia="仿宋"/>
                <w:spacing w:val="-6"/>
                <w:sz w:val="24"/>
                <w:szCs w:val="24"/>
                <w:lang w:eastAsia="en-US"/>
              </w:rPr>
              <w:t>标准</w:t>
            </w:r>
          </w:p>
          <w:p w14:paraId="1503033E">
            <w:pPr>
              <w:pStyle w:val="41"/>
              <w:spacing w:line="304" w:lineRule="auto"/>
              <w:ind w:left="162" w:right="150"/>
              <w:jc w:val="both"/>
              <w:rPr>
                <w:rFonts w:ascii="仿宋" w:hAnsi="仿宋" w:eastAsia="仿宋"/>
                <w:sz w:val="24"/>
                <w:szCs w:val="24"/>
                <w:lang w:eastAsia="en-US"/>
              </w:rPr>
            </w:pPr>
            <w:r>
              <w:rPr>
                <w:rFonts w:ascii="仿宋" w:hAnsi="仿宋" w:eastAsia="仿宋"/>
                <w:sz w:val="24"/>
                <w:szCs w:val="24"/>
                <w:lang w:eastAsia="en-US"/>
              </w:rPr>
              <w:t>（70</w:t>
            </w:r>
            <w:r>
              <w:rPr>
                <w:rFonts w:ascii="仿宋" w:hAnsi="仿宋" w:eastAsia="仿宋"/>
                <w:spacing w:val="-30"/>
                <w:sz w:val="24"/>
                <w:szCs w:val="24"/>
                <w:lang w:eastAsia="en-US"/>
              </w:rPr>
              <w:t xml:space="preserve"> 分</w:t>
            </w:r>
            <w:r>
              <w:rPr>
                <w:rFonts w:ascii="仿宋" w:hAnsi="仿宋" w:eastAsia="仿宋"/>
                <w:spacing w:val="-10"/>
                <w:sz w:val="24"/>
                <w:szCs w:val="24"/>
                <w:lang w:eastAsia="en-US"/>
              </w:rPr>
              <w:t>）</w:t>
            </w:r>
          </w:p>
        </w:tc>
        <w:tc>
          <w:tcPr>
            <w:tcW w:w="1699" w:type="dxa"/>
            <w:vAlign w:val="center"/>
          </w:tcPr>
          <w:p w14:paraId="702B0C1C">
            <w:pPr>
              <w:pStyle w:val="41"/>
              <w:jc w:val="center"/>
              <w:rPr>
                <w:rFonts w:ascii="Times New Roman" w:hAnsi="Times New Roman"/>
                <w:lang w:eastAsia="en-US"/>
              </w:rPr>
            </w:pPr>
            <w:r>
              <w:rPr>
                <w:rFonts w:hint="eastAsia" w:ascii="Times New Roman" w:hAnsi="Times New Roman"/>
                <w:lang w:eastAsia="en-US"/>
              </w:rPr>
              <w:t>服务内容</w:t>
            </w:r>
            <w:r>
              <w:rPr>
                <w:rFonts w:ascii="Times New Roman" w:hAnsi="Times New Roman"/>
                <w:lang w:eastAsia="en-US"/>
              </w:rPr>
              <w:t>响应情况</w:t>
            </w:r>
          </w:p>
          <w:p w14:paraId="2FA00FE8">
            <w:pPr>
              <w:pStyle w:val="41"/>
              <w:jc w:val="center"/>
              <w:rPr>
                <w:rFonts w:ascii="仿宋" w:hAnsi="仿宋" w:eastAsia="仿宋"/>
                <w:sz w:val="24"/>
                <w:szCs w:val="24"/>
                <w:lang w:eastAsia="en-US"/>
              </w:rPr>
            </w:pPr>
            <w:r>
              <w:rPr>
                <w:rFonts w:hint="eastAsia" w:ascii="Times New Roman" w:hAnsi="Times New Roman"/>
                <w:lang w:eastAsia="en-US"/>
              </w:rPr>
              <w:t>（1</w:t>
            </w:r>
            <w:r>
              <w:rPr>
                <w:rFonts w:ascii="Times New Roman" w:hAnsi="Times New Roman"/>
                <w:lang w:eastAsia="en-US"/>
              </w:rPr>
              <w:t>4</w:t>
            </w:r>
            <w:r>
              <w:rPr>
                <w:rFonts w:hint="eastAsia" w:ascii="Times New Roman" w:hAnsi="Times New Roman"/>
                <w:lang w:eastAsia="en-US"/>
              </w:rPr>
              <w:t>分）</w:t>
            </w:r>
          </w:p>
        </w:tc>
        <w:tc>
          <w:tcPr>
            <w:tcW w:w="5929" w:type="dxa"/>
            <w:vAlign w:val="center"/>
          </w:tcPr>
          <w:p w14:paraId="77DFFED8">
            <w:pPr>
              <w:pStyle w:val="41"/>
              <w:spacing w:before="41" w:line="390" w:lineRule="atLeast"/>
              <w:ind w:left="108" w:right="-29"/>
              <w:rPr>
                <w:rFonts w:ascii="仿宋" w:hAnsi="仿宋" w:eastAsia="仿宋"/>
                <w:spacing w:val="-7"/>
                <w:sz w:val="24"/>
                <w:szCs w:val="24"/>
                <w:lang w:eastAsia="en-US"/>
              </w:rPr>
            </w:pPr>
            <w:r>
              <w:rPr>
                <w:rFonts w:ascii="仿宋" w:hAnsi="仿宋" w:eastAsia="仿宋"/>
                <w:spacing w:val="-7"/>
                <w:sz w:val="24"/>
                <w:szCs w:val="24"/>
                <w:lang w:eastAsia="en-US"/>
              </w:rPr>
              <w:t>投标人</w:t>
            </w:r>
            <w:r>
              <w:rPr>
                <w:rFonts w:hint="eastAsia" w:ascii="仿宋" w:hAnsi="仿宋" w:eastAsia="仿宋"/>
                <w:spacing w:val="-7"/>
                <w:sz w:val="24"/>
                <w:szCs w:val="24"/>
                <w:lang w:eastAsia="en-US"/>
              </w:rPr>
              <w:t>对服务内容要求</w:t>
            </w:r>
            <w:r>
              <w:rPr>
                <w:rFonts w:ascii="仿宋" w:hAnsi="仿宋" w:eastAsia="仿宋"/>
                <w:spacing w:val="-7"/>
                <w:sz w:val="24"/>
                <w:szCs w:val="24"/>
                <w:lang w:eastAsia="en-US"/>
              </w:rPr>
              <w:t>完全满足招标文件要求的，得</w:t>
            </w:r>
            <w:r>
              <w:rPr>
                <w:rFonts w:hint="eastAsia" w:ascii="仿宋" w:hAnsi="仿宋" w:eastAsia="仿宋"/>
                <w:spacing w:val="-7"/>
                <w:sz w:val="24"/>
                <w:szCs w:val="24"/>
                <w:lang w:eastAsia="en-US"/>
              </w:rPr>
              <w:t>1</w:t>
            </w:r>
            <w:r>
              <w:rPr>
                <w:rFonts w:hint="eastAsia" w:ascii="仿宋" w:hAnsi="仿宋" w:eastAsia="仿宋"/>
                <w:spacing w:val="-7"/>
                <w:sz w:val="24"/>
                <w:szCs w:val="24"/>
                <w:lang w:val="en-US" w:eastAsia="zh-CN"/>
              </w:rPr>
              <w:t>4</w:t>
            </w:r>
            <w:bookmarkStart w:id="1" w:name="_GoBack"/>
            <w:bookmarkEnd w:id="1"/>
            <w:r>
              <w:rPr>
                <w:rFonts w:ascii="仿宋" w:hAnsi="仿宋" w:eastAsia="仿宋"/>
                <w:spacing w:val="-7"/>
                <w:sz w:val="24"/>
                <w:szCs w:val="24"/>
                <w:lang w:eastAsia="en-US"/>
              </w:rPr>
              <w:t>分。每有一项不响应或负偏离的扣</w:t>
            </w:r>
            <w:r>
              <w:rPr>
                <w:rFonts w:hint="eastAsia" w:ascii="仿宋" w:hAnsi="仿宋" w:eastAsia="仿宋"/>
                <w:spacing w:val="-7"/>
                <w:sz w:val="24"/>
                <w:szCs w:val="24"/>
                <w:lang w:eastAsia="en-US"/>
              </w:rPr>
              <w:t>2</w:t>
            </w:r>
            <w:r>
              <w:rPr>
                <w:rFonts w:ascii="仿宋" w:hAnsi="仿宋" w:eastAsia="仿宋"/>
                <w:spacing w:val="-7"/>
                <w:sz w:val="24"/>
                <w:szCs w:val="24"/>
                <w:lang w:eastAsia="en-US"/>
              </w:rPr>
              <w:t>分</w:t>
            </w:r>
            <w:r>
              <w:rPr>
                <w:rFonts w:hint="eastAsia" w:ascii="仿宋" w:hAnsi="仿宋" w:eastAsia="仿宋"/>
                <w:spacing w:val="-7"/>
                <w:sz w:val="24"/>
                <w:szCs w:val="24"/>
                <w:lang w:eastAsia="en-US"/>
              </w:rPr>
              <w:t>，</w:t>
            </w:r>
            <w:r>
              <w:rPr>
                <w:rFonts w:ascii="仿宋" w:hAnsi="仿宋" w:eastAsia="仿宋"/>
                <w:spacing w:val="-7"/>
                <w:sz w:val="24"/>
                <w:szCs w:val="24"/>
                <w:lang w:eastAsia="en-US"/>
              </w:rPr>
              <w:t>扣完为止。</w:t>
            </w:r>
          </w:p>
          <w:p w14:paraId="2A8EFB78">
            <w:pPr>
              <w:pStyle w:val="41"/>
              <w:spacing w:before="41" w:line="390" w:lineRule="atLeast"/>
              <w:ind w:left="108" w:right="-29"/>
              <w:rPr>
                <w:rFonts w:ascii="仿宋" w:hAnsi="仿宋" w:eastAsia="仿宋"/>
                <w:sz w:val="24"/>
                <w:szCs w:val="24"/>
                <w:lang w:eastAsia="en-US"/>
              </w:rPr>
            </w:pPr>
            <w:r>
              <w:rPr>
                <w:rFonts w:ascii="仿宋" w:hAnsi="仿宋" w:eastAsia="仿宋"/>
                <w:spacing w:val="-7"/>
                <w:sz w:val="24"/>
                <w:szCs w:val="24"/>
                <w:lang w:eastAsia="en-US"/>
              </w:rPr>
              <w:t>注：技术/服务需求响应偏离表必须对所有</w:t>
            </w:r>
            <w:r>
              <w:rPr>
                <w:rFonts w:hint="eastAsia" w:ascii="仿宋" w:hAnsi="仿宋" w:eastAsia="仿宋"/>
                <w:spacing w:val="-7"/>
                <w:sz w:val="24"/>
                <w:szCs w:val="24"/>
                <w:lang w:eastAsia="en-US"/>
              </w:rPr>
              <w:t>服务内容</w:t>
            </w:r>
            <w:r>
              <w:rPr>
                <w:rFonts w:ascii="仿宋" w:hAnsi="仿宋" w:eastAsia="仿宋"/>
                <w:spacing w:val="-7"/>
                <w:sz w:val="24"/>
                <w:szCs w:val="24"/>
                <w:lang w:eastAsia="en-US"/>
              </w:rPr>
              <w:t>逐条填写响应情况，评标委员会以技术/服务需求响应偏离表格及招标文件技术</w:t>
            </w:r>
            <w:r>
              <w:rPr>
                <w:rFonts w:hint="eastAsia" w:ascii="仿宋" w:hAnsi="仿宋" w:eastAsia="仿宋"/>
                <w:spacing w:val="-7"/>
                <w:sz w:val="24"/>
                <w:szCs w:val="24"/>
                <w:lang w:eastAsia="en-US"/>
              </w:rPr>
              <w:t>服务</w:t>
            </w:r>
            <w:r>
              <w:rPr>
                <w:rFonts w:ascii="仿宋" w:hAnsi="仿宋" w:eastAsia="仿宋"/>
                <w:spacing w:val="-7"/>
                <w:sz w:val="24"/>
                <w:szCs w:val="24"/>
                <w:lang w:eastAsia="en-US"/>
              </w:rPr>
              <w:t>要求提供的证明材料作为评审依据。虚假响应参数的按无效标处理。</w:t>
            </w:r>
          </w:p>
        </w:tc>
      </w:tr>
      <w:tr w14:paraId="77B4E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38" w:hRule="atLeast"/>
          <w:jc w:val="center"/>
        </w:trPr>
        <w:tc>
          <w:tcPr>
            <w:tcW w:w="704" w:type="dxa"/>
            <w:vMerge w:val="continue"/>
            <w:vAlign w:val="center"/>
          </w:tcPr>
          <w:p w14:paraId="6638C7BD">
            <w:pPr>
              <w:pStyle w:val="41"/>
              <w:jc w:val="center"/>
              <w:rPr>
                <w:rFonts w:ascii="仿宋" w:hAnsi="仿宋" w:eastAsia="仿宋"/>
                <w:sz w:val="24"/>
                <w:szCs w:val="24"/>
                <w:lang w:eastAsia="en-US"/>
              </w:rPr>
            </w:pPr>
          </w:p>
        </w:tc>
        <w:tc>
          <w:tcPr>
            <w:tcW w:w="1185" w:type="dxa"/>
            <w:vMerge w:val="continue"/>
            <w:vAlign w:val="center"/>
          </w:tcPr>
          <w:p w14:paraId="2B537DCB">
            <w:pPr>
              <w:pStyle w:val="41"/>
              <w:spacing w:line="304" w:lineRule="auto"/>
              <w:ind w:left="162" w:right="150"/>
              <w:jc w:val="both"/>
              <w:rPr>
                <w:rFonts w:ascii="仿宋" w:hAnsi="仿宋" w:eastAsia="仿宋"/>
                <w:spacing w:val="-4"/>
                <w:sz w:val="24"/>
                <w:szCs w:val="24"/>
                <w:lang w:eastAsia="en-US"/>
              </w:rPr>
            </w:pPr>
          </w:p>
        </w:tc>
        <w:tc>
          <w:tcPr>
            <w:tcW w:w="1699" w:type="dxa"/>
            <w:vAlign w:val="center"/>
          </w:tcPr>
          <w:p w14:paraId="40B7D3DE">
            <w:pPr>
              <w:pStyle w:val="41"/>
              <w:jc w:val="center"/>
              <w:rPr>
                <w:rFonts w:ascii="仿宋" w:hAnsi="仿宋" w:eastAsia="仿宋"/>
                <w:sz w:val="24"/>
                <w:szCs w:val="24"/>
                <w:lang w:eastAsia="en-US"/>
              </w:rPr>
            </w:pPr>
            <w:r>
              <w:rPr>
                <w:rFonts w:ascii="仿宋" w:hAnsi="仿宋" w:eastAsia="仿宋"/>
                <w:spacing w:val="-2"/>
                <w:sz w:val="24"/>
                <w:szCs w:val="24"/>
                <w:lang w:eastAsia="en-US"/>
              </w:rPr>
              <w:t>综合实</w:t>
            </w:r>
            <w:r>
              <w:rPr>
                <w:rFonts w:ascii="仿宋" w:hAnsi="仿宋" w:eastAsia="仿宋"/>
                <w:sz w:val="24"/>
                <w:szCs w:val="24"/>
                <w:lang w:eastAsia="en-US"/>
              </w:rPr>
              <w:t>力</w:t>
            </w:r>
          </w:p>
          <w:p w14:paraId="3D0DB04F">
            <w:pPr>
              <w:pStyle w:val="41"/>
              <w:jc w:val="center"/>
              <w:rPr>
                <w:rFonts w:ascii="仿宋" w:hAnsi="仿宋" w:eastAsia="仿宋"/>
                <w:spacing w:val="-2"/>
                <w:sz w:val="24"/>
                <w:szCs w:val="24"/>
                <w:lang w:eastAsia="en-US"/>
              </w:rPr>
            </w:pPr>
            <w:r>
              <w:rPr>
                <w:rFonts w:ascii="仿宋" w:hAnsi="仿宋" w:eastAsia="仿宋"/>
                <w:sz w:val="24"/>
                <w:szCs w:val="24"/>
                <w:lang w:eastAsia="en-US"/>
              </w:rPr>
              <w:t>（</w:t>
            </w:r>
            <w:r>
              <w:rPr>
                <w:rFonts w:hint="eastAsia" w:ascii="仿宋" w:hAnsi="仿宋" w:eastAsia="仿宋"/>
                <w:sz w:val="24"/>
                <w:szCs w:val="24"/>
                <w:lang w:eastAsia="en-US"/>
              </w:rPr>
              <w:t>6</w:t>
            </w:r>
            <w:r>
              <w:rPr>
                <w:rFonts w:ascii="仿宋" w:hAnsi="仿宋" w:eastAsia="仿宋"/>
                <w:spacing w:val="-21"/>
                <w:sz w:val="24"/>
                <w:szCs w:val="24"/>
                <w:lang w:eastAsia="en-US"/>
              </w:rPr>
              <w:t>分</w:t>
            </w:r>
            <w:r>
              <w:rPr>
                <w:rFonts w:ascii="仿宋" w:hAnsi="仿宋" w:eastAsia="仿宋"/>
                <w:sz w:val="24"/>
                <w:szCs w:val="24"/>
                <w:lang w:eastAsia="en-US"/>
              </w:rPr>
              <w:t>）</w:t>
            </w:r>
          </w:p>
        </w:tc>
        <w:tc>
          <w:tcPr>
            <w:tcW w:w="5929" w:type="dxa"/>
            <w:vAlign w:val="center"/>
          </w:tcPr>
          <w:p w14:paraId="480B5719">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投标人具有有效的质量管理体系认证证书、环境管理体系认证证书、职业健康安全管理体系认证证书，每提供一个得2分，满三个得6分。</w:t>
            </w:r>
          </w:p>
          <w:p w14:paraId="51319F30">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注：须提供相关认证证书影印件及相关证书在中国国家认证认可监督管理委员会官网证书查询截图。</w:t>
            </w:r>
          </w:p>
        </w:tc>
      </w:tr>
      <w:tr w14:paraId="1864F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37757D93">
            <w:pPr>
              <w:pStyle w:val="41"/>
              <w:jc w:val="center"/>
              <w:rPr>
                <w:rFonts w:ascii="仿宋" w:hAnsi="仿宋" w:eastAsia="仿宋"/>
                <w:sz w:val="24"/>
                <w:szCs w:val="24"/>
                <w:lang w:eastAsia="en-US"/>
              </w:rPr>
            </w:pPr>
          </w:p>
        </w:tc>
        <w:tc>
          <w:tcPr>
            <w:tcW w:w="1185" w:type="dxa"/>
            <w:vMerge w:val="continue"/>
            <w:vAlign w:val="center"/>
          </w:tcPr>
          <w:p w14:paraId="315F3470">
            <w:pPr>
              <w:pStyle w:val="41"/>
              <w:spacing w:line="304" w:lineRule="auto"/>
              <w:ind w:left="162" w:right="150"/>
              <w:jc w:val="both"/>
              <w:rPr>
                <w:rFonts w:ascii="仿宋" w:hAnsi="仿宋" w:eastAsia="仿宋"/>
                <w:spacing w:val="-4"/>
                <w:sz w:val="24"/>
                <w:szCs w:val="24"/>
                <w:lang w:eastAsia="en-US"/>
              </w:rPr>
            </w:pPr>
          </w:p>
        </w:tc>
        <w:tc>
          <w:tcPr>
            <w:tcW w:w="1699" w:type="dxa"/>
            <w:vAlign w:val="center"/>
          </w:tcPr>
          <w:p w14:paraId="0D66BCB3">
            <w:pPr>
              <w:pStyle w:val="41"/>
              <w:jc w:val="center"/>
              <w:rPr>
                <w:rFonts w:ascii="仿宋" w:hAnsi="仿宋" w:eastAsia="仿宋"/>
                <w:sz w:val="24"/>
                <w:szCs w:val="24"/>
                <w:lang w:eastAsia="en-US"/>
              </w:rPr>
            </w:pPr>
            <w:r>
              <w:rPr>
                <w:rFonts w:hint="eastAsia" w:ascii="仿宋" w:hAnsi="仿宋" w:eastAsia="仿宋"/>
                <w:sz w:val="24"/>
                <w:szCs w:val="24"/>
                <w:lang w:eastAsia="en-US"/>
              </w:rPr>
              <w:t>投标人业绩</w:t>
            </w:r>
          </w:p>
          <w:p w14:paraId="2C6B83D5">
            <w:pPr>
              <w:pStyle w:val="41"/>
              <w:jc w:val="center"/>
              <w:rPr>
                <w:rFonts w:ascii="仿宋" w:hAnsi="仿宋" w:eastAsia="仿宋"/>
                <w:sz w:val="24"/>
                <w:szCs w:val="24"/>
                <w:lang w:eastAsia="en-US"/>
              </w:rPr>
            </w:pPr>
            <w:r>
              <w:rPr>
                <w:rFonts w:hint="eastAsia" w:ascii="仿宋" w:hAnsi="仿宋" w:eastAsia="仿宋"/>
                <w:sz w:val="24"/>
                <w:szCs w:val="24"/>
                <w:lang w:eastAsia="en-US"/>
              </w:rPr>
              <w:t>(9分)</w:t>
            </w:r>
          </w:p>
        </w:tc>
        <w:tc>
          <w:tcPr>
            <w:tcW w:w="5929" w:type="dxa"/>
            <w:vAlign w:val="center"/>
          </w:tcPr>
          <w:p w14:paraId="4ACE2C84">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2021 年 1 月 1 日至今（以合同签订时间为准），投标人每提供一个医疗行业信息化相关维保服务合同得3分，本项最多9分。</w:t>
            </w:r>
          </w:p>
          <w:p w14:paraId="33AD3F5F">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注：投标文件中须提供业绩合同，合同中不能反评审所需信息，还需补充提供相关证明资料。如投标人所提供业绩证明材料中无法清晰体现评审内容，该业绩将不予认可。</w:t>
            </w:r>
          </w:p>
        </w:tc>
      </w:tr>
      <w:tr w14:paraId="18F71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6FDAD815">
            <w:pPr>
              <w:pStyle w:val="41"/>
              <w:jc w:val="center"/>
              <w:rPr>
                <w:rFonts w:ascii="仿宋" w:hAnsi="仿宋" w:eastAsia="仿宋"/>
                <w:sz w:val="24"/>
                <w:szCs w:val="24"/>
                <w:lang w:eastAsia="en-US"/>
              </w:rPr>
            </w:pPr>
          </w:p>
        </w:tc>
        <w:tc>
          <w:tcPr>
            <w:tcW w:w="1185" w:type="dxa"/>
            <w:vMerge w:val="continue"/>
            <w:vAlign w:val="center"/>
          </w:tcPr>
          <w:p w14:paraId="39A09092">
            <w:pPr>
              <w:pStyle w:val="41"/>
              <w:spacing w:line="304" w:lineRule="auto"/>
              <w:ind w:left="162" w:right="150"/>
              <w:jc w:val="both"/>
              <w:rPr>
                <w:rFonts w:ascii="仿宋" w:hAnsi="仿宋" w:eastAsia="仿宋"/>
                <w:spacing w:val="-4"/>
                <w:sz w:val="24"/>
                <w:szCs w:val="24"/>
                <w:lang w:eastAsia="en-US"/>
              </w:rPr>
            </w:pPr>
          </w:p>
        </w:tc>
        <w:tc>
          <w:tcPr>
            <w:tcW w:w="1699" w:type="dxa"/>
            <w:vAlign w:val="center"/>
          </w:tcPr>
          <w:p w14:paraId="73BB71E0">
            <w:pPr>
              <w:pStyle w:val="41"/>
              <w:jc w:val="center"/>
              <w:rPr>
                <w:rFonts w:ascii="仿宋" w:hAnsi="仿宋" w:eastAsia="仿宋"/>
                <w:sz w:val="24"/>
                <w:szCs w:val="24"/>
                <w:lang w:eastAsia="en-US"/>
              </w:rPr>
            </w:pPr>
            <w:r>
              <w:rPr>
                <w:rFonts w:hint="eastAsia" w:ascii="仿宋" w:hAnsi="仿宋" w:eastAsia="仿宋"/>
                <w:sz w:val="24"/>
                <w:szCs w:val="24"/>
                <w:lang w:eastAsia="en-US"/>
              </w:rPr>
              <w:t>维保与运维服务方案</w:t>
            </w:r>
          </w:p>
          <w:p w14:paraId="5FD6FD17">
            <w:pPr>
              <w:pStyle w:val="41"/>
              <w:jc w:val="center"/>
              <w:rPr>
                <w:rFonts w:ascii="仿宋" w:hAnsi="仿宋" w:eastAsia="仿宋"/>
                <w:sz w:val="24"/>
                <w:szCs w:val="24"/>
                <w:lang w:eastAsia="en-US"/>
              </w:rPr>
            </w:pPr>
            <w:r>
              <w:rPr>
                <w:rFonts w:hint="eastAsia" w:ascii="仿宋" w:hAnsi="仿宋" w:eastAsia="仿宋"/>
                <w:sz w:val="24"/>
                <w:szCs w:val="24"/>
                <w:lang w:eastAsia="en-US"/>
              </w:rPr>
              <w:t>（</w:t>
            </w:r>
            <w:r>
              <w:rPr>
                <w:rFonts w:ascii="仿宋" w:hAnsi="仿宋" w:eastAsia="仿宋"/>
                <w:sz w:val="24"/>
                <w:szCs w:val="24"/>
                <w:lang w:eastAsia="en-US"/>
              </w:rPr>
              <w:t>10</w:t>
            </w:r>
            <w:r>
              <w:rPr>
                <w:rFonts w:hint="eastAsia" w:ascii="仿宋" w:hAnsi="仿宋" w:eastAsia="仿宋"/>
                <w:sz w:val="24"/>
                <w:szCs w:val="24"/>
                <w:lang w:eastAsia="en-US"/>
              </w:rPr>
              <w:t>分）</w:t>
            </w:r>
          </w:p>
        </w:tc>
        <w:tc>
          <w:tcPr>
            <w:tcW w:w="5929" w:type="dxa"/>
            <w:vAlign w:val="center"/>
          </w:tcPr>
          <w:p w14:paraId="19EAF85C">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评标委员会根据投标人为本项目提供的维保与运维服务方案及售后服务情况进行综合评分。包括但不限于后的响应时间、故障修复时间、巡检次数及巡检时间段、售后服务的保障措施等方面：</w:t>
            </w:r>
          </w:p>
          <w:p w14:paraId="3D7D4535">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 xml:space="preserve">1.方案内容完整，与项目契合度高，得 </w:t>
            </w:r>
            <w:r>
              <w:rPr>
                <w:rFonts w:hint="eastAsia" w:ascii="仿宋" w:hAnsi="仿宋" w:eastAsia="仿宋"/>
                <w:spacing w:val="-7"/>
                <w:sz w:val="24"/>
                <w:szCs w:val="24"/>
                <w:lang w:val="en-US" w:eastAsia="zh-CN"/>
              </w:rPr>
              <w:t>7</w:t>
            </w:r>
            <w:r>
              <w:rPr>
                <w:rFonts w:hint="eastAsia" w:ascii="仿宋" w:hAnsi="仿宋" w:eastAsia="仿宋"/>
                <w:spacing w:val="-7"/>
                <w:sz w:val="24"/>
                <w:szCs w:val="24"/>
                <w:lang w:eastAsia="en-US"/>
              </w:rPr>
              <w:t>（不含）-</w:t>
            </w:r>
            <w:r>
              <w:rPr>
                <w:rFonts w:hint="eastAsia" w:ascii="仿宋" w:hAnsi="仿宋" w:eastAsia="仿宋"/>
                <w:spacing w:val="-7"/>
                <w:sz w:val="24"/>
                <w:szCs w:val="24"/>
                <w:lang w:val="en-US" w:eastAsia="zh-CN"/>
              </w:rPr>
              <w:t>10</w:t>
            </w:r>
            <w:r>
              <w:rPr>
                <w:rFonts w:hint="eastAsia" w:ascii="仿宋" w:hAnsi="仿宋" w:eastAsia="仿宋"/>
                <w:spacing w:val="-7"/>
                <w:sz w:val="24"/>
                <w:szCs w:val="24"/>
                <w:lang w:eastAsia="en-US"/>
              </w:rPr>
              <w:t>分（含）；</w:t>
            </w:r>
          </w:p>
          <w:p w14:paraId="47EF40AA">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2.方案较好，内容有一定可实施性，得 4（不含）-</w:t>
            </w:r>
            <w:r>
              <w:rPr>
                <w:rFonts w:hint="eastAsia" w:ascii="仿宋" w:hAnsi="仿宋" w:eastAsia="仿宋"/>
                <w:spacing w:val="-7"/>
                <w:sz w:val="24"/>
                <w:szCs w:val="24"/>
                <w:lang w:val="en-US" w:eastAsia="zh-CN"/>
              </w:rPr>
              <w:t>7</w:t>
            </w:r>
            <w:r>
              <w:rPr>
                <w:rFonts w:hint="eastAsia" w:ascii="仿宋" w:hAnsi="仿宋" w:eastAsia="仿宋"/>
                <w:spacing w:val="-7"/>
                <w:sz w:val="24"/>
                <w:szCs w:val="24"/>
                <w:lang w:eastAsia="en-US"/>
              </w:rPr>
              <w:t>（含）分；</w:t>
            </w:r>
          </w:p>
          <w:p w14:paraId="2C94125D">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3.方案一般，内容有待完善，得 1（含）-</w:t>
            </w:r>
            <w:r>
              <w:rPr>
                <w:rFonts w:hint="eastAsia" w:ascii="仿宋" w:hAnsi="仿宋" w:eastAsia="仿宋"/>
                <w:spacing w:val="-7"/>
                <w:sz w:val="24"/>
                <w:szCs w:val="24"/>
                <w:lang w:val="en-US" w:eastAsia="zh-CN"/>
              </w:rPr>
              <w:t>4</w:t>
            </w:r>
            <w:r>
              <w:rPr>
                <w:rFonts w:hint="eastAsia" w:ascii="仿宋" w:hAnsi="仿宋" w:eastAsia="仿宋"/>
                <w:spacing w:val="-7"/>
                <w:sz w:val="24"/>
                <w:szCs w:val="24"/>
                <w:lang w:eastAsia="en-US"/>
              </w:rPr>
              <w:t>（含）分；</w:t>
            </w:r>
          </w:p>
          <w:p w14:paraId="55B84335">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4.未提供的不得分。</w:t>
            </w:r>
          </w:p>
        </w:tc>
      </w:tr>
      <w:tr w14:paraId="25A05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124E3422">
            <w:pPr>
              <w:pStyle w:val="41"/>
              <w:jc w:val="center"/>
              <w:rPr>
                <w:rFonts w:ascii="仿宋" w:hAnsi="仿宋" w:eastAsia="仿宋"/>
                <w:sz w:val="24"/>
                <w:szCs w:val="24"/>
                <w:lang w:eastAsia="en-US"/>
              </w:rPr>
            </w:pPr>
          </w:p>
        </w:tc>
        <w:tc>
          <w:tcPr>
            <w:tcW w:w="1185" w:type="dxa"/>
            <w:vMerge w:val="continue"/>
            <w:vAlign w:val="center"/>
          </w:tcPr>
          <w:p w14:paraId="54BB0056">
            <w:pPr>
              <w:pStyle w:val="41"/>
              <w:spacing w:line="304" w:lineRule="auto"/>
              <w:ind w:left="162" w:right="150"/>
              <w:jc w:val="both"/>
              <w:rPr>
                <w:rFonts w:ascii="仿宋" w:hAnsi="仿宋" w:eastAsia="仿宋"/>
                <w:spacing w:val="-4"/>
                <w:sz w:val="24"/>
                <w:szCs w:val="24"/>
                <w:lang w:eastAsia="en-US"/>
              </w:rPr>
            </w:pPr>
          </w:p>
        </w:tc>
        <w:tc>
          <w:tcPr>
            <w:tcW w:w="1699" w:type="dxa"/>
            <w:shd w:val="clear" w:color="auto" w:fill="auto"/>
            <w:vAlign w:val="center"/>
          </w:tcPr>
          <w:p w14:paraId="3BB2062D">
            <w:pPr>
              <w:autoSpaceDE w:val="0"/>
              <w:autoSpaceDN w:val="0"/>
              <w:spacing w:line="360" w:lineRule="auto"/>
              <w:jc w:val="center"/>
              <w:rPr>
                <w:rFonts w:ascii="仿宋" w:hAnsi="仿宋" w:eastAsia="仿宋" w:cs="宋体"/>
                <w:kern w:val="0"/>
                <w:sz w:val="24"/>
                <w:szCs w:val="24"/>
                <w:lang w:eastAsia="en-US"/>
              </w:rPr>
            </w:pPr>
            <w:r>
              <w:rPr>
                <w:rFonts w:hint="eastAsia" w:ascii="仿宋" w:hAnsi="仿宋" w:eastAsia="仿宋" w:cs="宋体"/>
                <w:kern w:val="0"/>
                <w:sz w:val="24"/>
                <w:szCs w:val="24"/>
                <w:lang w:eastAsia="en-US"/>
              </w:rPr>
              <w:t>前期治理与规划服务方案</w:t>
            </w:r>
          </w:p>
          <w:p w14:paraId="1AD9BA69">
            <w:pPr>
              <w:autoSpaceDE w:val="0"/>
              <w:autoSpaceDN w:val="0"/>
              <w:spacing w:line="360" w:lineRule="auto"/>
              <w:jc w:val="center"/>
              <w:rPr>
                <w:rFonts w:ascii="仿宋" w:hAnsi="仿宋" w:eastAsia="仿宋" w:cs="宋体"/>
                <w:kern w:val="0"/>
                <w:sz w:val="24"/>
                <w:szCs w:val="24"/>
                <w:lang w:eastAsia="en-US"/>
              </w:rPr>
            </w:pPr>
            <w:r>
              <w:rPr>
                <w:rFonts w:hint="eastAsia" w:ascii="仿宋" w:hAnsi="仿宋" w:eastAsia="仿宋" w:cs="宋体"/>
                <w:kern w:val="0"/>
                <w:sz w:val="24"/>
                <w:szCs w:val="24"/>
                <w:lang w:eastAsia="en-US"/>
              </w:rPr>
              <w:t>（</w:t>
            </w:r>
            <w:r>
              <w:rPr>
                <w:rFonts w:ascii="仿宋" w:hAnsi="仿宋" w:eastAsia="仿宋" w:cs="宋体"/>
                <w:kern w:val="0"/>
                <w:sz w:val="24"/>
                <w:szCs w:val="24"/>
                <w:lang w:eastAsia="en-US"/>
              </w:rPr>
              <w:t>10</w:t>
            </w:r>
            <w:r>
              <w:rPr>
                <w:rFonts w:hint="eastAsia" w:ascii="仿宋" w:hAnsi="仿宋" w:eastAsia="仿宋" w:cs="宋体"/>
                <w:kern w:val="0"/>
                <w:sz w:val="24"/>
                <w:szCs w:val="24"/>
                <w:lang w:eastAsia="en-US"/>
              </w:rPr>
              <w:t>分）</w:t>
            </w:r>
          </w:p>
        </w:tc>
        <w:tc>
          <w:tcPr>
            <w:tcW w:w="5929" w:type="dxa"/>
            <w:shd w:val="clear" w:color="auto" w:fill="auto"/>
            <w:vAlign w:val="center"/>
          </w:tcPr>
          <w:p w14:paraId="71BE8696">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投标人能够对招标人现状提出综合治理与规划范围措施，包括资产管理、配置管理、业务逻辑、相关制度及流程建立等提出合理化实施建议方案。</w:t>
            </w:r>
          </w:p>
          <w:p w14:paraId="14C987BE">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1.服务方案科学合理、详尽，且完全满足项目要求的，得 7（不含）-</w:t>
            </w:r>
            <w:r>
              <w:rPr>
                <w:rFonts w:hint="eastAsia" w:ascii="仿宋" w:hAnsi="仿宋" w:eastAsia="仿宋"/>
                <w:spacing w:val="-7"/>
                <w:sz w:val="24"/>
                <w:szCs w:val="24"/>
                <w:lang w:val="en-US" w:eastAsia="zh-CN"/>
              </w:rPr>
              <w:t>10</w:t>
            </w:r>
            <w:r>
              <w:rPr>
                <w:rFonts w:hint="eastAsia" w:ascii="仿宋" w:hAnsi="仿宋" w:eastAsia="仿宋"/>
                <w:spacing w:val="-7"/>
                <w:sz w:val="24"/>
                <w:szCs w:val="24"/>
                <w:lang w:eastAsia="en-US"/>
              </w:rPr>
              <w:t>分（含）；</w:t>
            </w:r>
          </w:p>
          <w:p w14:paraId="1C67E258">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2.服务方案内容较好，基本可满足项目要求的，得 4（不含）-</w:t>
            </w:r>
            <w:r>
              <w:rPr>
                <w:rFonts w:hint="eastAsia" w:ascii="仿宋" w:hAnsi="仿宋" w:eastAsia="仿宋"/>
                <w:spacing w:val="-7"/>
                <w:sz w:val="24"/>
                <w:szCs w:val="24"/>
                <w:lang w:val="en-US" w:eastAsia="zh-CN"/>
              </w:rPr>
              <w:t>7</w:t>
            </w:r>
            <w:r>
              <w:rPr>
                <w:rFonts w:hint="eastAsia" w:ascii="仿宋" w:hAnsi="仿宋" w:eastAsia="仿宋"/>
                <w:spacing w:val="-7"/>
                <w:sz w:val="24"/>
                <w:szCs w:val="24"/>
                <w:lang w:eastAsia="en-US"/>
              </w:rPr>
              <w:t>（含）分；</w:t>
            </w:r>
          </w:p>
          <w:p w14:paraId="56356C04">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3.方案一般，内容有待完善，得 1（含）-</w:t>
            </w:r>
            <w:r>
              <w:rPr>
                <w:rFonts w:hint="eastAsia" w:ascii="仿宋" w:hAnsi="仿宋" w:eastAsia="仿宋"/>
                <w:spacing w:val="-7"/>
                <w:sz w:val="24"/>
                <w:szCs w:val="24"/>
                <w:lang w:val="en-US" w:eastAsia="zh-CN"/>
              </w:rPr>
              <w:t>4</w:t>
            </w:r>
            <w:r>
              <w:rPr>
                <w:rFonts w:hint="eastAsia" w:ascii="仿宋" w:hAnsi="仿宋" w:eastAsia="仿宋"/>
                <w:spacing w:val="-7"/>
                <w:sz w:val="24"/>
                <w:szCs w:val="24"/>
                <w:lang w:eastAsia="en-US"/>
              </w:rPr>
              <w:t>（含）分；</w:t>
            </w:r>
          </w:p>
          <w:p w14:paraId="4FA9908E">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4.无服务方案或方案完全不能满足项目要求的不得分。</w:t>
            </w:r>
          </w:p>
        </w:tc>
      </w:tr>
      <w:tr w14:paraId="19C0A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65DBC4FC">
            <w:pPr>
              <w:pStyle w:val="41"/>
              <w:jc w:val="center"/>
              <w:rPr>
                <w:rFonts w:ascii="仿宋" w:hAnsi="仿宋" w:eastAsia="仿宋"/>
                <w:sz w:val="24"/>
                <w:szCs w:val="24"/>
                <w:lang w:eastAsia="en-US"/>
              </w:rPr>
            </w:pPr>
          </w:p>
        </w:tc>
        <w:tc>
          <w:tcPr>
            <w:tcW w:w="1185" w:type="dxa"/>
            <w:vMerge w:val="continue"/>
            <w:vAlign w:val="center"/>
          </w:tcPr>
          <w:p w14:paraId="3679146C">
            <w:pPr>
              <w:pStyle w:val="41"/>
              <w:spacing w:line="304" w:lineRule="auto"/>
              <w:ind w:left="162" w:right="150"/>
              <w:jc w:val="both"/>
              <w:rPr>
                <w:rFonts w:ascii="仿宋" w:hAnsi="仿宋" w:eastAsia="仿宋"/>
                <w:spacing w:val="-4"/>
                <w:sz w:val="24"/>
                <w:szCs w:val="24"/>
                <w:lang w:eastAsia="en-US"/>
              </w:rPr>
            </w:pPr>
          </w:p>
        </w:tc>
        <w:tc>
          <w:tcPr>
            <w:tcW w:w="1699" w:type="dxa"/>
            <w:vAlign w:val="center"/>
          </w:tcPr>
          <w:p w14:paraId="41C93FC8">
            <w:pPr>
              <w:autoSpaceDE w:val="0"/>
              <w:autoSpaceDN w:val="0"/>
              <w:spacing w:line="360" w:lineRule="auto"/>
              <w:jc w:val="center"/>
              <w:rPr>
                <w:rFonts w:ascii="仿宋" w:hAnsi="仿宋" w:eastAsia="仿宋" w:cs="宋体"/>
                <w:kern w:val="0"/>
                <w:sz w:val="24"/>
                <w:szCs w:val="24"/>
                <w:lang w:eastAsia="en-US"/>
              </w:rPr>
            </w:pPr>
            <w:r>
              <w:rPr>
                <w:rFonts w:hint="eastAsia" w:ascii="仿宋" w:hAnsi="仿宋" w:eastAsia="仿宋" w:cs="宋体"/>
                <w:kern w:val="0"/>
                <w:sz w:val="24"/>
                <w:szCs w:val="24"/>
                <w:lang w:eastAsia="en-US"/>
              </w:rPr>
              <w:t>应急事件处置方案</w:t>
            </w:r>
          </w:p>
          <w:p w14:paraId="0488C691">
            <w:pPr>
              <w:autoSpaceDE w:val="0"/>
              <w:autoSpaceDN w:val="0"/>
              <w:spacing w:line="360" w:lineRule="auto"/>
              <w:jc w:val="center"/>
              <w:rPr>
                <w:rFonts w:ascii="仿宋" w:hAnsi="仿宋" w:eastAsia="仿宋" w:cs="宋体"/>
                <w:kern w:val="0"/>
                <w:sz w:val="24"/>
                <w:szCs w:val="24"/>
                <w:lang w:eastAsia="en-US"/>
              </w:rPr>
            </w:pPr>
            <w:r>
              <w:rPr>
                <w:rFonts w:hint="eastAsia" w:ascii="仿宋" w:hAnsi="仿宋" w:eastAsia="仿宋" w:cs="宋体"/>
                <w:kern w:val="0"/>
                <w:sz w:val="24"/>
                <w:szCs w:val="24"/>
                <w:lang w:eastAsia="en-US"/>
              </w:rPr>
              <w:t>（</w:t>
            </w:r>
            <w:r>
              <w:rPr>
                <w:rFonts w:ascii="仿宋" w:hAnsi="仿宋" w:eastAsia="仿宋" w:cs="宋体"/>
                <w:kern w:val="0"/>
                <w:sz w:val="24"/>
                <w:szCs w:val="24"/>
                <w:lang w:eastAsia="en-US"/>
              </w:rPr>
              <w:t>10</w:t>
            </w:r>
            <w:r>
              <w:rPr>
                <w:rFonts w:hint="eastAsia" w:ascii="仿宋" w:hAnsi="仿宋" w:eastAsia="仿宋" w:cs="宋体"/>
                <w:kern w:val="0"/>
                <w:sz w:val="24"/>
                <w:szCs w:val="24"/>
                <w:lang w:eastAsia="en-US"/>
              </w:rPr>
              <w:t>分）</w:t>
            </w:r>
          </w:p>
        </w:tc>
        <w:tc>
          <w:tcPr>
            <w:tcW w:w="5929" w:type="dxa"/>
            <w:vAlign w:val="center"/>
          </w:tcPr>
          <w:p w14:paraId="53C72706">
            <w:pPr>
              <w:autoSpaceDE w:val="0"/>
              <w:autoSpaceDN w:val="0"/>
              <w:spacing w:line="360" w:lineRule="auto"/>
              <w:jc w:val="left"/>
              <w:rPr>
                <w:rFonts w:ascii="仿宋" w:hAnsi="仿宋" w:eastAsia="仿宋" w:cs="宋体"/>
                <w:kern w:val="0"/>
                <w:sz w:val="24"/>
                <w:szCs w:val="24"/>
                <w:lang w:eastAsia="en-US"/>
              </w:rPr>
            </w:pPr>
            <w:r>
              <w:rPr>
                <w:rFonts w:hint="eastAsia" w:ascii="仿宋" w:hAnsi="仿宋" w:eastAsia="仿宋" w:cs="宋体"/>
                <w:kern w:val="0"/>
                <w:sz w:val="24"/>
                <w:szCs w:val="24"/>
                <w:lang w:eastAsia="en-US"/>
              </w:rPr>
              <w:t>根据投标文件中的应急事件处置方案（包含对</w:t>
            </w:r>
          </w:p>
          <w:p w14:paraId="1A30F7C2">
            <w:pPr>
              <w:autoSpaceDE w:val="0"/>
              <w:autoSpaceDN w:val="0"/>
              <w:spacing w:line="360" w:lineRule="auto"/>
              <w:jc w:val="left"/>
              <w:rPr>
                <w:rFonts w:ascii="仿宋" w:hAnsi="仿宋" w:eastAsia="仿宋" w:cs="宋体"/>
                <w:kern w:val="0"/>
                <w:sz w:val="24"/>
                <w:szCs w:val="24"/>
                <w:lang w:eastAsia="en-US"/>
              </w:rPr>
            </w:pPr>
            <w:r>
              <w:rPr>
                <w:rFonts w:hint="eastAsia" w:ascii="仿宋" w:hAnsi="仿宋" w:eastAsia="仿宋" w:cs="宋体"/>
                <w:kern w:val="0"/>
                <w:sz w:val="24"/>
                <w:szCs w:val="24"/>
                <w:lang w:eastAsia="en-US"/>
              </w:rPr>
              <w:t>响应流程、应急流程、应急处置流程、常见安全事</w:t>
            </w:r>
          </w:p>
          <w:p w14:paraId="639D9A80">
            <w:pPr>
              <w:autoSpaceDE w:val="0"/>
              <w:autoSpaceDN w:val="0"/>
              <w:spacing w:line="360" w:lineRule="auto"/>
              <w:jc w:val="left"/>
              <w:rPr>
                <w:rFonts w:ascii="仿宋" w:hAnsi="仿宋" w:eastAsia="仿宋" w:cs="宋体"/>
                <w:kern w:val="0"/>
                <w:sz w:val="24"/>
                <w:szCs w:val="24"/>
                <w:lang w:eastAsia="en-US"/>
              </w:rPr>
            </w:pPr>
            <w:r>
              <w:rPr>
                <w:rFonts w:hint="eastAsia" w:ascii="仿宋" w:hAnsi="仿宋" w:eastAsia="仿宋" w:cs="宋体"/>
                <w:kern w:val="0"/>
                <w:sz w:val="24"/>
                <w:szCs w:val="24"/>
                <w:lang w:eastAsia="en-US"/>
              </w:rPr>
              <w:t>件处置步骤等），由评委会综合评审：</w:t>
            </w:r>
          </w:p>
          <w:p w14:paraId="3289FD2B">
            <w:pPr>
              <w:autoSpaceDE w:val="0"/>
              <w:autoSpaceDN w:val="0"/>
              <w:spacing w:line="360" w:lineRule="auto"/>
              <w:jc w:val="left"/>
              <w:rPr>
                <w:rFonts w:ascii="仿宋" w:hAnsi="仿宋" w:eastAsia="仿宋" w:cs="宋体"/>
                <w:kern w:val="0"/>
                <w:sz w:val="24"/>
                <w:szCs w:val="24"/>
                <w:lang w:eastAsia="en-US"/>
              </w:rPr>
            </w:pPr>
            <w:r>
              <w:rPr>
                <w:rFonts w:hint="eastAsia" w:ascii="仿宋" w:hAnsi="仿宋" w:eastAsia="仿宋" w:cs="宋体"/>
                <w:kern w:val="0"/>
                <w:sz w:val="24"/>
                <w:szCs w:val="24"/>
                <w:lang w:eastAsia="en-US"/>
              </w:rPr>
              <w:t>1.方案完整有效且具有可操作性的，</w:t>
            </w:r>
            <w:r>
              <w:rPr>
                <w:rFonts w:hint="eastAsia" w:ascii="仿宋" w:hAnsi="仿宋" w:eastAsia="仿宋"/>
                <w:spacing w:val="-7"/>
                <w:sz w:val="24"/>
                <w:szCs w:val="24"/>
                <w:lang w:eastAsia="en-US"/>
              </w:rPr>
              <w:t>得 7（不含）-</w:t>
            </w:r>
            <w:r>
              <w:rPr>
                <w:rFonts w:hint="eastAsia" w:ascii="仿宋" w:hAnsi="仿宋" w:eastAsia="仿宋"/>
                <w:spacing w:val="-7"/>
                <w:sz w:val="24"/>
                <w:szCs w:val="24"/>
                <w:lang w:val="en-US" w:eastAsia="zh-CN"/>
              </w:rPr>
              <w:t>10</w:t>
            </w:r>
            <w:r>
              <w:rPr>
                <w:rFonts w:hint="eastAsia" w:ascii="仿宋" w:hAnsi="仿宋" w:eastAsia="仿宋"/>
                <w:spacing w:val="-7"/>
                <w:sz w:val="24"/>
                <w:szCs w:val="24"/>
                <w:lang w:eastAsia="en-US"/>
              </w:rPr>
              <w:t>分（含）；</w:t>
            </w:r>
          </w:p>
          <w:p w14:paraId="00C2222A">
            <w:pPr>
              <w:pStyle w:val="41"/>
              <w:spacing w:before="41" w:line="390" w:lineRule="atLeast"/>
              <w:ind w:right="-29"/>
              <w:rPr>
                <w:rFonts w:ascii="仿宋" w:hAnsi="仿宋" w:eastAsia="仿宋"/>
                <w:spacing w:val="-7"/>
                <w:sz w:val="24"/>
                <w:szCs w:val="24"/>
                <w:lang w:eastAsia="en-US"/>
              </w:rPr>
            </w:pPr>
            <w:r>
              <w:rPr>
                <w:rFonts w:hint="eastAsia" w:ascii="仿宋" w:hAnsi="仿宋" w:eastAsia="仿宋"/>
                <w:sz w:val="24"/>
                <w:szCs w:val="24"/>
                <w:lang w:eastAsia="en-US"/>
              </w:rPr>
              <w:t>2.方案一般且能满足需要的，</w:t>
            </w:r>
            <w:r>
              <w:rPr>
                <w:rFonts w:hint="eastAsia" w:ascii="仿宋" w:hAnsi="仿宋" w:eastAsia="仿宋"/>
                <w:spacing w:val="-7"/>
                <w:sz w:val="24"/>
                <w:szCs w:val="24"/>
                <w:lang w:eastAsia="en-US"/>
              </w:rPr>
              <w:t>得 4（不含）-</w:t>
            </w:r>
            <w:r>
              <w:rPr>
                <w:rFonts w:hint="eastAsia" w:ascii="仿宋" w:hAnsi="仿宋" w:eastAsia="仿宋"/>
                <w:spacing w:val="-7"/>
                <w:sz w:val="24"/>
                <w:szCs w:val="24"/>
                <w:lang w:val="en-US" w:eastAsia="zh-CN"/>
              </w:rPr>
              <w:t>7</w:t>
            </w:r>
            <w:r>
              <w:rPr>
                <w:rFonts w:hint="eastAsia" w:ascii="仿宋" w:hAnsi="仿宋" w:eastAsia="仿宋"/>
                <w:spacing w:val="-7"/>
                <w:sz w:val="24"/>
                <w:szCs w:val="24"/>
                <w:lang w:eastAsia="en-US"/>
              </w:rPr>
              <w:t>（含）分；</w:t>
            </w:r>
          </w:p>
          <w:p w14:paraId="375E577A">
            <w:pPr>
              <w:pStyle w:val="41"/>
              <w:spacing w:before="41" w:line="390" w:lineRule="atLeast"/>
              <w:ind w:right="-29"/>
              <w:rPr>
                <w:rFonts w:ascii="仿宋" w:hAnsi="仿宋" w:eastAsia="仿宋"/>
                <w:spacing w:val="-7"/>
                <w:sz w:val="24"/>
                <w:szCs w:val="24"/>
                <w:lang w:eastAsia="en-US"/>
              </w:rPr>
            </w:pPr>
            <w:r>
              <w:rPr>
                <w:rFonts w:hint="eastAsia" w:ascii="仿宋" w:hAnsi="仿宋" w:eastAsia="仿宋"/>
                <w:sz w:val="24"/>
                <w:szCs w:val="24"/>
                <w:lang w:eastAsia="en-US"/>
              </w:rPr>
              <w:t>3.方案不完整但能基本满足需要的，</w:t>
            </w:r>
            <w:r>
              <w:rPr>
                <w:rFonts w:hint="eastAsia" w:ascii="仿宋" w:hAnsi="仿宋" w:eastAsia="仿宋"/>
                <w:spacing w:val="-7"/>
                <w:sz w:val="24"/>
                <w:szCs w:val="24"/>
                <w:lang w:eastAsia="en-US"/>
              </w:rPr>
              <w:t>得 1（含）-</w:t>
            </w:r>
            <w:r>
              <w:rPr>
                <w:rFonts w:hint="eastAsia" w:ascii="仿宋" w:hAnsi="仿宋" w:eastAsia="仿宋"/>
                <w:spacing w:val="-7"/>
                <w:sz w:val="24"/>
                <w:szCs w:val="24"/>
                <w:lang w:val="en-US" w:eastAsia="zh-CN"/>
              </w:rPr>
              <w:t>4</w:t>
            </w:r>
            <w:r>
              <w:rPr>
                <w:rFonts w:hint="eastAsia" w:ascii="仿宋" w:hAnsi="仿宋" w:eastAsia="仿宋"/>
                <w:spacing w:val="-7"/>
                <w:sz w:val="24"/>
                <w:szCs w:val="24"/>
                <w:lang w:eastAsia="en-US"/>
              </w:rPr>
              <w:t>（含）分；</w:t>
            </w:r>
          </w:p>
          <w:p w14:paraId="0C5A204E">
            <w:pPr>
              <w:autoSpaceDE w:val="0"/>
              <w:autoSpaceDN w:val="0"/>
              <w:spacing w:line="360" w:lineRule="auto"/>
              <w:jc w:val="left"/>
              <w:rPr>
                <w:rFonts w:ascii="仿宋" w:hAnsi="仿宋" w:eastAsia="仿宋" w:cs="宋体"/>
                <w:kern w:val="0"/>
                <w:sz w:val="24"/>
                <w:szCs w:val="24"/>
                <w:lang w:eastAsia="en-US"/>
              </w:rPr>
            </w:pPr>
            <w:r>
              <w:rPr>
                <w:rFonts w:hint="eastAsia" w:ascii="仿宋" w:hAnsi="仿宋" w:eastAsia="仿宋" w:cs="宋体"/>
                <w:kern w:val="0"/>
                <w:sz w:val="24"/>
                <w:szCs w:val="24"/>
                <w:lang w:eastAsia="en-US"/>
              </w:rPr>
              <w:t>4.</w:t>
            </w:r>
            <w:r>
              <w:rPr>
                <w:rFonts w:hint="eastAsia" w:ascii="仿宋" w:hAnsi="仿宋" w:eastAsia="仿宋" w:cs="宋体"/>
                <w:spacing w:val="-7"/>
                <w:kern w:val="0"/>
                <w:sz w:val="24"/>
                <w:szCs w:val="24"/>
                <w:lang w:eastAsia="en-US"/>
              </w:rPr>
              <w:t xml:space="preserve"> 无服务方案或方案完全不能满足项目要求的不得分。</w:t>
            </w:r>
          </w:p>
        </w:tc>
      </w:tr>
      <w:tr w14:paraId="5C826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5A73E8FF">
            <w:pPr>
              <w:pStyle w:val="41"/>
              <w:jc w:val="center"/>
              <w:rPr>
                <w:rFonts w:ascii="仿宋" w:hAnsi="仿宋" w:eastAsia="仿宋"/>
                <w:sz w:val="24"/>
                <w:szCs w:val="24"/>
                <w:lang w:eastAsia="en-US"/>
              </w:rPr>
            </w:pPr>
          </w:p>
        </w:tc>
        <w:tc>
          <w:tcPr>
            <w:tcW w:w="1185" w:type="dxa"/>
            <w:vMerge w:val="continue"/>
            <w:vAlign w:val="center"/>
          </w:tcPr>
          <w:p w14:paraId="29ED2900">
            <w:pPr>
              <w:pStyle w:val="41"/>
              <w:spacing w:line="304" w:lineRule="auto"/>
              <w:ind w:left="162" w:right="150"/>
              <w:jc w:val="both"/>
              <w:rPr>
                <w:rFonts w:ascii="仿宋" w:hAnsi="仿宋" w:eastAsia="仿宋"/>
                <w:spacing w:val="-4"/>
                <w:sz w:val="24"/>
                <w:szCs w:val="24"/>
                <w:lang w:eastAsia="en-US"/>
              </w:rPr>
            </w:pPr>
          </w:p>
        </w:tc>
        <w:tc>
          <w:tcPr>
            <w:tcW w:w="1699" w:type="dxa"/>
            <w:vAlign w:val="center"/>
          </w:tcPr>
          <w:p w14:paraId="7B21FD1B">
            <w:pPr>
              <w:pStyle w:val="41"/>
              <w:jc w:val="center"/>
              <w:rPr>
                <w:rFonts w:ascii="仿宋" w:hAnsi="仿宋" w:eastAsia="仿宋"/>
                <w:sz w:val="24"/>
                <w:szCs w:val="24"/>
                <w:lang w:eastAsia="en-US"/>
              </w:rPr>
            </w:pPr>
            <w:r>
              <w:rPr>
                <w:rFonts w:hint="eastAsia" w:ascii="仿宋" w:hAnsi="仿宋" w:eastAsia="仿宋"/>
                <w:spacing w:val="20"/>
                <w:sz w:val="24"/>
                <w:szCs w:val="24"/>
                <w:lang w:eastAsia="en-US"/>
              </w:rPr>
              <w:t>服务</w:t>
            </w:r>
            <w:r>
              <w:rPr>
                <w:rFonts w:ascii="仿宋" w:hAnsi="仿宋" w:eastAsia="仿宋"/>
                <w:spacing w:val="20"/>
                <w:sz w:val="24"/>
                <w:szCs w:val="24"/>
                <w:lang w:eastAsia="en-US"/>
              </w:rPr>
              <w:t>承诺</w:t>
            </w:r>
          </w:p>
          <w:p w14:paraId="0A4AAEF5">
            <w:pPr>
              <w:pStyle w:val="41"/>
              <w:jc w:val="center"/>
              <w:rPr>
                <w:rFonts w:ascii="仿宋" w:hAnsi="仿宋" w:eastAsia="仿宋"/>
                <w:sz w:val="24"/>
                <w:szCs w:val="24"/>
                <w:lang w:eastAsia="en-US"/>
              </w:rPr>
            </w:pPr>
            <w:r>
              <w:rPr>
                <w:rFonts w:hint="eastAsia" w:ascii="仿宋" w:hAnsi="仿宋" w:eastAsia="仿宋"/>
                <w:sz w:val="24"/>
                <w:szCs w:val="24"/>
                <w:lang w:eastAsia="en-US"/>
              </w:rPr>
              <w:t>（1</w:t>
            </w:r>
            <w:r>
              <w:rPr>
                <w:rFonts w:ascii="仿宋" w:hAnsi="仿宋" w:eastAsia="仿宋"/>
                <w:sz w:val="24"/>
                <w:szCs w:val="24"/>
                <w:lang w:eastAsia="en-US"/>
              </w:rPr>
              <w:t>1</w:t>
            </w:r>
            <w:r>
              <w:rPr>
                <w:rFonts w:hint="eastAsia" w:ascii="仿宋" w:hAnsi="仿宋" w:eastAsia="仿宋"/>
                <w:sz w:val="24"/>
                <w:szCs w:val="24"/>
                <w:lang w:eastAsia="en-US"/>
              </w:rPr>
              <w:t>分）</w:t>
            </w:r>
          </w:p>
        </w:tc>
        <w:tc>
          <w:tcPr>
            <w:tcW w:w="5929" w:type="dxa"/>
            <w:vAlign w:val="center"/>
          </w:tcPr>
          <w:p w14:paraId="5C4804E3">
            <w:pPr>
              <w:pStyle w:val="41"/>
              <w:spacing w:before="41" w:line="390" w:lineRule="atLeast"/>
              <w:ind w:left="108" w:right="-29"/>
              <w:rPr>
                <w:rFonts w:ascii="仿宋" w:hAnsi="仿宋" w:eastAsia="仿宋"/>
                <w:spacing w:val="-7"/>
                <w:sz w:val="24"/>
                <w:szCs w:val="24"/>
                <w:lang w:eastAsia="en-US"/>
              </w:rPr>
            </w:pPr>
            <w:r>
              <w:rPr>
                <w:rFonts w:hint="eastAsia" w:ascii="仿宋" w:hAnsi="仿宋" w:eastAsia="仿宋"/>
                <w:spacing w:val="-7"/>
                <w:sz w:val="24"/>
                <w:szCs w:val="24"/>
                <w:lang w:eastAsia="en-US"/>
              </w:rPr>
              <w:t>1、投标人承诺中标后派遣驻场工程师不少于 1 名（驻场时间为服务期间），全程协助院方信息中心在网络</w:t>
            </w:r>
            <w:r>
              <w:rPr>
                <w:rFonts w:hint="eastAsia" w:ascii="仿宋" w:hAnsi="仿宋" w:eastAsia="仿宋"/>
                <w:spacing w:val="-7"/>
                <w:sz w:val="24"/>
                <w:szCs w:val="24"/>
                <w:lang w:val="en-US" w:eastAsia="zh-CN"/>
              </w:rPr>
              <w:t>维护</w:t>
            </w:r>
            <w:r>
              <w:rPr>
                <w:rFonts w:hint="eastAsia" w:ascii="仿宋" w:hAnsi="仿宋" w:eastAsia="仿宋"/>
                <w:spacing w:val="-7"/>
                <w:sz w:val="24"/>
                <w:szCs w:val="24"/>
                <w:lang w:eastAsia="en-US"/>
              </w:rPr>
              <w:t xml:space="preserve">方面工作。在本项目进行期间，未经采购人同意，服务过程中不得中途更换人员，也不得将服务分包或转包。承诺派遣1名工程师得 </w:t>
            </w:r>
            <w:r>
              <w:rPr>
                <w:rFonts w:hint="eastAsia" w:ascii="仿宋" w:hAnsi="仿宋" w:eastAsia="仿宋"/>
                <w:spacing w:val="-7"/>
                <w:sz w:val="24"/>
                <w:szCs w:val="24"/>
                <w:lang w:val="en-US" w:eastAsia="zh-CN"/>
              </w:rPr>
              <w:t>3</w:t>
            </w:r>
            <w:r>
              <w:rPr>
                <w:rFonts w:hint="eastAsia" w:ascii="仿宋" w:hAnsi="仿宋" w:eastAsia="仿宋"/>
                <w:spacing w:val="-7"/>
                <w:sz w:val="24"/>
                <w:szCs w:val="24"/>
                <w:lang w:eastAsia="en-US"/>
              </w:rPr>
              <w:t xml:space="preserve"> 分，</w:t>
            </w:r>
            <w:r>
              <w:rPr>
                <w:rFonts w:hint="eastAsia" w:ascii="仿宋" w:hAnsi="仿宋" w:eastAsia="仿宋"/>
                <w:spacing w:val="-7"/>
                <w:sz w:val="24"/>
                <w:szCs w:val="24"/>
                <w:lang w:val="en-US" w:eastAsia="zh-CN"/>
              </w:rPr>
              <w:t>2</w:t>
            </w:r>
            <w:r>
              <w:rPr>
                <w:rFonts w:hint="eastAsia" w:ascii="仿宋" w:hAnsi="仿宋" w:eastAsia="仿宋"/>
                <w:spacing w:val="-7"/>
                <w:sz w:val="24"/>
                <w:szCs w:val="24"/>
                <w:lang w:eastAsia="en-US"/>
              </w:rPr>
              <w:t>人</w:t>
            </w:r>
            <w:r>
              <w:rPr>
                <w:rFonts w:hint="eastAsia" w:ascii="仿宋" w:hAnsi="仿宋" w:eastAsia="仿宋"/>
                <w:spacing w:val="-7"/>
                <w:sz w:val="24"/>
                <w:szCs w:val="24"/>
                <w:lang w:val="en-US" w:eastAsia="zh-CN"/>
              </w:rPr>
              <w:t>及以上</w:t>
            </w:r>
            <w:r>
              <w:rPr>
                <w:rFonts w:hint="eastAsia" w:ascii="仿宋" w:hAnsi="仿宋" w:eastAsia="仿宋"/>
                <w:spacing w:val="-7"/>
                <w:sz w:val="24"/>
                <w:szCs w:val="24"/>
                <w:lang w:eastAsia="en-US"/>
              </w:rPr>
              <w:t>得</w:t>
            </w:r>
            <w:r>
              <w:rPr>
                <w:rFonts w:ascii="仿宋" w:hAnsi="仿宋" w:eastAsia="仿宋"/>
                <w:spacing w:val="-7"/>
                <w:sz w:val="24"/>
                <w:szCs w:val="24"/>
                <w:lang w:eastAsia="en-US"/>
              </w:rPr>
              <w:t>5</w:t>
            </w:r>
            <w:r>
              <w:rPr>
                <w:rFonts w:hint="eastAsia" w:ascii="仿宋" w:hAnsi="仿宋" w:eastAsia="仿宋"/>
                <w:spacing w:val="-7"/>
                <w:sz w:val="24"/>
                <w:szCs w:val="24"/>
                <w:lang w:eastAsia="en-US"/>
              </w:rPr>
              <w:t>分，否则不得分。</w:t>
            </w:r>
          </w:p>
          <w:p w14:paraId="6E26AB31">
            <w:pPr>
              <w:pStyle w:val="41"/>
              <w:spacing w:before="41" w:line="390" w:lineRule="atLeast"/>
              <w:ind w:left="108" w:right="-29"/>
              <w:rPr>
                <w:rFonts w:ascii="仿宋" w:hAnsi="仿宋" w:eastAsia="仿宋"/>
                <w:spacing w:val="-7"/>
                <w:sz w:val="24"/>
                <w:szCs w:val="24"/>
                <w:highlight w:val="yellow"/>
                <w:lang w:eastAsia="en-US"/>
              </w:rPr>
            </w:pPr>
            <w:r>
              <w:rPr>
                <w:rFonts w:hint="eastAsia" w:ascii="仿宋" w:hAnsi="仿宋" w:eastAsia="仿宋"/>
                <w:spacing w:val="-7"/>
                <w:sz w:val="24"/>
                <w:szCs w:val="24"/>
                <w:highlight w:val="none"/>
                <w:lang w:eastAsia="en-US"/>
              </w:rPr>
              <w:t>2、网络核心产品（核心交换机）厂商，针对此项目出具项目授权和服务承诺函，提供承诺的，得 6 分，否则不得分。</w:t>
            </w:r>
          </w:p>
        </w:tc>
      </w:tr>
    </w:tbl>
    <w:p w14:paraId="7811A273">
      <w:pPr>
        <w:ind w:firstLine="640" w:firstLineChars="200"/>
        <w:rPr>
          <w:rFonts w:ascii="仿宋" w:hAnsi="仿宋" w:eastAsia="仿宋"/>
          <w:sz w:val="32"/>
          <w:szCs w:val="32"/>
        </w:rPr>
      </w:pPr>
      <w:r>
        <w:rPr>
          <w:rFonts w:hint="eastAsia" w:ascii="仿宋" w:hAnsi="仿宋" w:eastAsia="仿宋"/>
          <w:sz w:val="32"/>
          <w:szCs w:val="32"/>
        </w:rPr>
        <w:t>注：投标人须在投标文件中提供以上评标办法涉及的相关证明、证书的复印件并加盖投标人公章，由产品制造商出具的材料应同时加盖制造商公章。</w:t>
      </w:r>
    </w:p>
    <w:p w14:paraId="52E9A8C6">
      <w:pPr>
        <w:ind w:firstLine="643" w:firstLineChars="200"/>
        <w:rPr>
          <w:rFonts w:ascii="仿宋" w:hAnsi="仿宋" w:eastAsia="仿宋"/>
          <w:b/>
          <w:bCs/>
          <w:sz w:val="32"/>
          <w:szCs w:val="32"/>
        </w:rPr>
      </w:pPr>
      <w:r>
        <w:rPr>
          <w:rFonts w:hint="eastAsia" w:ascii="仿宋" w:hAnsi="仿宋" w:eastAsia="仿宋"/>
          <w:b/>
          <w:bCs/>
          <w:sz w:val="32"/>
          <w:szCs w:val="32"/>
        </w:rPr>
        <w:t>2、报价部分（满分 30 分）</w:t>
      </w:r>
    </w:p>
    <w:tbl>
      <w:tblPr>
        <w:tblStyle w:val="40"/>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12"/>
        <w:gridCol w:w="1044"/>
        <w:gridCol w:w="1699"/>
        <w:gridCol w:w="5628"/>
      </w:tblGrid>
      <w:tr w14:paraId="170866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1" w:hRule="atLeast"/>
          <w:jc w:val="center"/>
        </w:trPr>
        <w:tc>
          <w:tcPr>
            <w:tcW w:w="412" w:type="dxa"/>
            <w:tcBorders>
              <w:left w:val="single" w:color="000000" w:sz="4" w:space="0"/>
              <w:bottom w:val="single" w:color="000000" w:sz="4" w:space="0"/>
              <w:right w:val="single" w:color="000000" w:sz="4" w:space="0"/>
            </w:tcBorders>
            <w:vAlign w:val="center"/>
          </w:tcPr>
          <w:p w14:paraId="6949EA1A">
            <w:pPr>
              <w:pStyle w:val="41"/>
              <w:ind w:left="108"/>
              <w:rPr>
                <w:rFonts w:ascii="仿宋" w:hAnsi="仿宋" w:eastAsia="仿宋"/>
                <w:sz w:val="24"/>
                <w:lang w:eastAsia="en-US"/>
              </w:rPr>
            </w:pPr>
            <w:r>
              <w:rPr>
                <w:rFonts w:ascii="仿宋" w:hAnsi="仿宋" w:eastAsia="仿宋"/>
                <w:sz w:val="24"/>
                <w:lang w:eastAsia="en-US"/>
              </w:rPr>
              <w:t>1</w:t>
            </w:r>
          </w:p>
        </w:tc>
        <w:tc>
          <w:tcPr>
            <w:tcW w:w="1044" w:type="dxa"/>
            <w:tcBorders>
              <w:left w:val="single" w:color="000000" w:sz="4" w:space="0"/>
              <w:bottom w:val="single" w:color="000000" w:sz="4" w:space="0"/>
              <w:right w:val="single" w:color="000000" w:sz="4" w:space="0"/>
            </w:tcBorders>
            <w:vAlign w:val="center"/>
          </w:tcPr>
          <w:p w14:paraId="19670476">
            <w:pPr>
              <w:pStyle w:val="41"/>
              <w:ind w:left="108"/>
              <w:rPr>
                <w:rFonts w:ascii="仿宋" w:hAnsi="仿宋" w:eastAsia="仿宋"/>
                <w:sz w:val="24"/>
                <w:lang w:eastAsia="en-US"/>
              </w:rPr>
            </w:pPr>
            <w:r>
              <w:rPr>
                <w:rFonts w:ascii="仿宋" w:hAnsi="仿宋" w:eastAsia="仿宋"/>
                <w:spacing w:val="32"/>
                <w:sz w:val="24"/>
                <w:lang w:eastAsia="en-US"/>
              </w:rPr>
              <w:t>价格分</w:t>
            </w:r>
          </w:p>
          <w:p w14:paraId="2022EC13">
            <w:pPr>
              <w:pStyle w:val="41"/>
              <w:spacing w:before="161"/>
              <w:ind w:left="108"/>
              <w:rPr>
                <w:rFonts w:ascii="仿宋" w:hAnsi="仿宋" w:eastAsia="仿宋"/>
                <w:sz w:val="24"/>
                <w:lang w:eastAsia="en-US"/>
              </w:rPr>
            </w:pPr>
            <w:r>
              <w:rPr>
                <w:rFonts w:ascii="仿宋" w:hAnsi="仿宋" w:eastAsia="仿宋"/>
                <w:spacing w:val="-4"/>
                <w:sz w:val="24"/>
                <w:lang w:eastAsia="en-US"/>
              </w:rPr>
              <w:t>（30）</w:t>
            </w:r>
          </w:p>
        </w:tc>
        <w:tc>
          <w:tcPr>
            <w:tcW w:w="1699" w:type="dxa"/>
            <w:tcBorders>
              <w:left w:val="single" w:color="000000" w:sz="4" w:space="0"/>
              <w:bottom w:val="single" w:color="000000" w:sz="4" w:space="0"/>
              <w:right w:val="single" w:color="000000" w:sz="4" w:space="0"/>
            </w:tcBorders>
            <w:vAlign w:val="center"/>
          </w:tcPr>
          <w:p w14:paraId="354B0632">
            <w:pPr>
              <w:pStyle w:val="41"/>
              <w:ind w:left="369"/>
              <w:rPr>
                <w:rFonts w:ascii="仿宋" w:hAnsi="仿宋" w:eastAsia="仿宋"/>
                <w:sz w:val="24"/>
                <w:lang w:eastAsia="en-US"/>
              </w:rPr>
            </w:pPr>
            <w:r>
              <w:rPr>
                <w:rFonts w:ascii="仿宋" w:hAnsi="仿宋" w:eastAsia="仿宋"/>
                <w:spacing w:val="-3"/>
                <w:sz w:val="24"/>
                <w:lang w:eastAsia="en-US"/>
              </w:rPr>
              <w:t>投标报价</w:t>
            </w:r>
          </w:p>
          <w:p w14:paraId="1A398D6C">
            <w:pPr>
              <w:pStyle w:val="41"/>
              <w:spacing w:before="161"/>
              <w:ind w:left="339"/>
              <w:rPr>
                <w:rFonts w:ascii="仿宋" w:hAnsi="仿宋" w:eastAsia="仿宋"/>
                <w:sz w:val="24"/>
                <w:lang w:eastAsia="en-US"/>
              </w:rPr>
            </w:pPr>
            <w:r>
              <w:rPr>
                <w:rFonts w:ascii="仿宋" w:hAnsi="仿宋" w:eastAsia="仿宋"/>
                <w:sz w:val="24"/>
                <w:lang w:eastAsia="en-US"/>
              </w:rPr>
              <w:t>（30</w:t>
            </w:r>
            <w:r>
              <w:rPr>
                <w:rFonts w:ascii="仿宋" w:hAnsi="仿宋" w:eastAsia="仿宋"/>
                <w:spacing w:val="-30"/>
                <w:sz w:val="24"/>
                <w:lang w:eastAsia="en-US"/>
              </w:rPr>
              <w:t xml:space="preserve"> 分</w:t>
            </w:r>
            <w:r>
              <w:rPr>
                <w:rFonts w:ascii="仿宋" w:hAnsi="仿宋" w:eastAsia="仿宋"/>
                <w:spacing w:val="-10"/>
                <w:sz w:val="24"/>
                <w:lang w:eastAsia="en-US"/>
              </w:rPr>
              <w:t>）</w:t>
            </w:r>
          </w:p>
        </w:tc>
        <w:tc>
          <w:tcPr>
            <w:tcW w:w="5628" w:type="dxa"/>
            <w:tcBorders>
              <w:left w:val="single" w:color="000000" w:sz="4" w:space="0"/>
              <w:bottom w:val="single" w:color="000000" w:sz="4" w:space="0"/>
              <w:right w:val="single" w:color="000000" w:sz="4" w:space="0"/>
            </w:tcBorders>
            <w:vAlign w:val="center"/>
          </w:tcPr>
          <w:p w14:paraId="2CF3393C">
            <w:pPr>
              <w:pStyle w:val="41"/>
              <w:spacing w:before="54" w:line="304" w:lineRule="auto"/>
              <w:ind w:left="108" w:right="97"/>
              <w:rPr>
                <w:rFonts w:ascii="仿宋" w:hAnsi="仿宋" w:eastAsia="仿宋"/>
                <w:sz w:val="24"/>
                <w:lang w:eastAsia="en-US"/>
              </w:rPr>
            </w:pPr>
            <w:r>
              <w:rPr>
                <w:rFonts w:ascii="仿宋" w:hAnsi="仿宋" w:eastAsia="仿宋"/>
                <w:spacing w:val="-8"/>
                <w:sz w:val="24"/>
                <w:lang w:eastAsia="en-US"/>
              </w:rPr>
              <w:t>对投标文件做出实质性响应的所有合格投标人，投标</w:t>
            </w:r>
            <w:r>
              <w:rPr>
                <w:rFonts w:ascii="仿宋" w:hAnsi="仿宋" w:eastAsia="仿宋"/>
                <w:spacing w:val="-2"/>
                <w:sz w:val="24"/>
                <w:lang w:eastAsia="en-US"/>
              </w:rPr>
              <w:t>报价得分=30*有效报价最低价/有效报价。</w:t>
            </w:r>
          </w:p>
          <w:p w14:paraId="09E773D7">
            <w:pPr>
              <w:pStyle w:val="41"/>
              <w:spacing w:line="306" w:lineRule="exact"/>
              <w:ind w:left="108"/>
              <w:rPr>
                <w:rFonts w:ascii="仿宋" w:hAnsi="仿宋" w:eastAsia="仿宋"/>
                <w:sz w:val="24"/>
                <w:lang w:eastAsia="en-US"/>
              </w:rPr>
            </w:pPr>
            <w:r>
              <w:rPr>
                <w:rFonts w:ascii="仿宋" w:hAnsi="仿宋" w:eastAsia="仿宋"/>
                <w:spacing w:val="-1"/>
                <w:sz w:val="24"/>
                <w:lang w:eastAsia="en-US"/>
              </w:rPr>
              <w:t>计算结果保留两位小数</w:t>
            </w:r>
          </w:p>
          <w:p w14:paraId="0F53A5B2">
            <w:pPr>
              <w:pStyle w:val="41"/>
              <w:spacing w:line="390" w:lineRule="atLeast"/>
              <w:ind w:left="108" w:right="96"/>
              <w:jc w:val="both"/>
              <w:rPr>
                <w:rFonts w:ascii="仿宋" w:hAnsi="仿宋" w:eastAsia="仿宋"/>
                <w:sz w:val="24"/>
                <w:lang w:eastAsia="en-US"/>
              </w:rPr>
            </w:pPr>
            <w:r>
              <w:rPr>
                <w:rFonts w:ascii="仿宋" w:hAnsi="仿宋" w:eastAsia="仿宋"/>
                <w:spacing w:val="-2"/>
                <w:sz w:val="24"/>
                <w:lang w:eastAsia="en-US"/>
              </w:rPr>
              <w:t>注：1、未通过初步评审的投标人报价不列入计算。 2、出现低于成本恶性竞争的，评标委员会有权认定为投标报价无效。</w:t>
            </w:r>
          </w:p>
        </w:tc>
      </w:tr>
    </w:tbl>
    <w:p w14:paraId="2E9FE3E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ymbol"/>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Symbol">
    <w:panose1 w:val="05050102010706020507"/>
    <w:charset w:val="00"/>
    <w:family w:val="auto"/>
    <w:pitch w:val="default"/>
    <w:sig w:usb0="00000000" w:usb1="00000000" w:usb2="00000000" w:usb3="00000000" w:csb0="8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65165B"/>
    <w:multiLevelType w:val="multilevel"/>
    <w:tmpl w:val="1B65165B"/>
    <w:lvl w:ilvl="0" w:tentative="0">
      <w:start w:val="1"/>
      <w:numFmt w:val="bullet"/>
      <w:lvlText w:val=""/>
      <w:lvlJc w:val="left"/>
      <w:pPr>
        <w:ind w:left="1080" w:hanging="440"/>
      </w:pPr>
      <w:rPr>
        <w:rFonts w:hint="default" w:ascii="Wingdings" w:hAnsi="Wingdings"/>
      </w:rPr>
    </w:lvl>
    <w:lvl w:ilvl="1" w:tentative="0">
      <w:start w:val="1"/>
      <w:numFmt w:val="bullet"/>
      <w:lvlText w:val=""/>
      <w:lvlJc w:val="left"/>
      <w:pPr>
        <w:ind w:left="1520" w:hanging="440"/>
      </w:pPr>
      <w:rPr>
        <w:rFonts w:hint="default" w:ascii="Wingdings" w:hAnsi="Wingdings"/>
      </w:rPr>
    </w:lvl>
    <w:lvl w:ilvl="2" w:tentative="0">
      <w:start w:val="1"/>
      <w:numFmt w:val="bullet"/>
      <w:lvlText w:val=""/>
      <w:lvlJc w:val="left"/>
      <w:pPr>
        <w:ind w:left="1960" w:hanging="440"/>
      </w:pPr>
      <w:rPr>
        <w:rFonts w:hint="default" w:ascii="Wingdings" w:hAnsi="Wingdings"/>
      </w:rPr>
    </w:lvl>
    <w:lvl w:ilvl="3" w:tentative="0">
      <w:start w:val="1"/>
      <w:numFmt w:val="bullet"/>
      <w:lvlText w:val=""/>
      <w:lvlJc w:val="left"/>
      <w:pPr>
        <w:ind w:left="2400" w:hanging="440"/>
      </w:pPr>
      <w:rPr>
        <w:rFonts w:hint="default" w:ascii="Wingdings" w:hAnsi="Wingdings"/>
      </w:rPr>
    </w:lvl>
    <w:lvl w:ilvl="4" w:tentative="0">
      <w:start w:val="1"/>
      <w:numFmt w:val="bullet"/>
      <w:lvlText w:val=""/>
      <w:lvlJc w:val="left"/>
      <w:pPr>
        <w:ind w:left="2840" w:hanging="440"/>
      </w:pPr>
      <w:rPr>
        <w:rFonts w:hint="default" w:ascii="Wingdings" w:hAnsi="Wingdings"/>
      </w:rPr>
    </w:lvl>
    <w:lvl w:ilvl="5" w:tentative="0">
      <w:start w:val="1"/>
      <w:numFmt w:val="bullet"/>
      <w:lvlText w:val=""/>
      <w:lvlJc w:val="left"/>
      <w:pPr>
        <w:ind w:left="3280" w:hanging="440"/>
      </w:pPr>
      <w:rPr>
        <w:rFonts w:hint="default" w:ascii="Wingdings" w:hAnsi="Wingdings"/>
      </w:rPr>
    </w:lvl>
    <w:lvl w:ilvl="6" w:tentative="0">
      <w:start w:val="1"/>
      <w:numFmt w:val="bullet"/>
      <w:lvlText w:val=""/>
      <w:lvlJc w:val="left"/>
      <w:pPr>
        <w:ind w:left="3720" w:hanging="440"/>
      </w:pPr>
      <w:rPr>
        <w:rFonts w:hint="default" w:ascii="Wingdings" w:hAnsi="Wingdings"/>
      </w:rPr>
    </w:lvl>
    <w:lvl w:ilvl="7" w:tentative="0">
      <w:start w:val="1"/>
      <w:numFmt w:val="bullet"/>
      <w:lvlText w:val=""/>
      <w:lvlJc w:val="left"/>
      <w:pPr>
        <w:ind w:left="4160" w:hanging="440"/>
      </w:pPr>
      <w:rPr>
        <w:rFonts w:hint="default" w:ascii="Wingdings" w:hAnsi="Wingdings"/>
      </w:rPr>
    </w:lvl>
    <w:lvl w:ilvl="8" w:tentative="0">
      <w:start w:val="1"/>
      <w:numFmt w:val="bullet"/>
      <w:lvlText w:val=""/>
      <w:lvlJc w:val="left"/>
      <w:pPr>
        <w:ind w:left="4600" w:hanging="44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68C"/>
    <w:rsid w:val="000F5E3D"/>
    <w:rsid w:val="001E5F0F"/>
    <w:rsid w:val="00212202"/>
    <w:rsid w:val="00230D34"/>
    <w:rsid w:val="002913F9"/>
    <w:rsid w:val="00325961"/>
    <w:rsid w:val="00365B67"/>
    <w:rsid w:val="00437311"/>
    <w:rsid w:val="00536460"/>
    <w:rsid w:val="00694D67"/>
    <w:rsid w:val="006C15EE"/>
    <w:rsid w:val="0078660E"/>
    <w:rsid w:val="00801123"/>
    <w:rsid w:val="00945832"/>
    <w:rsid w:val="009C0E59"/>
    <w:rsid w:val="00A62D53"/>
    <w:rsid w:val="00A86314"/>
    <w:rsid w:val="00A935F7"/>
    <w:rsid w:val="00B37654"/>
    <w:rsid w:val="00B9162D"/>
    <w:rsid w:val="00B97A61"/>
    <w:rsid w:val="00D06957"/>
    <w:rsid w:val="00D15CDA"/>
    <w:rsid w:val="00D51FA0"/>
    <w:rsid w:val="00D611CD"/>
    <w:rsid w:val="00E1568C"/>
    <w:rsid w:val="00E53630"/>
    <w:rsid w:val="00E56136"/>
    <w:rsid w:val="00E56B73"/>
    <w:rsid w:val="00F1469E"/>
    <w:rsid w:val="00F414A9"/>
    <w:rsid w:val="00F774DC"/>
    <w:rsid w:val="049C6C3E"/>
    <w:rsid w:val="08B651F8"/>
    <w:rsid w:val="0F2E1BAC"/>
    <w:rsid w:val="0F702CAD"/>
    <w:rsid w:val="0F807DFB"/>
    <w:rsid w:val="138C13D8"/>
    <w:rsid w:val="1DE31D0B"/>
    <w:rsid w:val="21E23822"/>
    <w:rsid w:val="24A952A3"/>
    <w:rsid w:val="25672ADF"/>
    <w:rsid w:val="298033B5"/>
    <w:rsid w:val="3CBB5044"/>
    <w:rsid w:val="41A1728C"/>
    <w:rsid w:val="4A5F6C41"/>
    <w:rsid w:val="4C765C60"/>
    <w:rsid w:val="546F42CD"/>
    <w:rsid w:val="5D7C523D"/>
    <w:rsid w:val="6EBA3488"/>
    <w:rsid w:val="7B312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3"/>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4"/>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5"/>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6"/>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7"/>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8"/>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9"/>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0"/>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42"/>
    <w:semiHidden/>
    <w:unhideWhenUsed/>
    <w:qFormat/>
    <w:uiPriority w:val="99"/>
    <w:pPr>
      <w:jc w:val="left"/>
    </w:pPr>
  </w:style>
  <w:style w:type="paragraph" w:styleId="12">
    <w:name w:val="Body Text"/>
    <w:basedOn w:val="1"/>
    <w:next w:val="13"/>
    <w:link w:val="44"/>
    <w:qFormat/>
    <w:uiPriority w:val="1"/>
    <w:pPr>
      <w:autoSpaceDE w:val="0"/>
      <w:autoSpaceDN w:val="0"/>
      <w:jc w:val="left"/>
    </w:pPr>
    <w:rPr>
      <w:rFonts w:ascii="宋体" w:hAnsi="宋体" w:eastAsia="宋体" w:cs="宋体"/>
      <w:kern w:val="0"/>
      <w:sz w:val="24"/>
      <w:szCs w:val="24"/>
    </w:rPr>
  </w:style>
  <w:style w:type="paragraph" w:customStyle="1" w:styleId="13">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4">
    <w:name w:val="Balloon Text"/>
    <w:basedOn w:val="1"/>
    <w:link w:val="46"/>
    <w:semiHidden/>
    <w:unhideWhenUsed/>
    <w:qFormat/>
    <w:uiPriority w:val="99"/>
    <w:rPr>
      <w:sz w:val="18"/>
      <w:szCs w:val="18"/>
    </w:rPr>
  </w:style>
  <w:style w:type="paragraph" w:styleId="15">
    <w:name w:val="Subtitle"/>
    <w:basedOn w:val="1"/>
    <w:next w:val="1"/>
    <w:link w:val="32"/>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Body Text 2"/>
    <w:basedOn w:val="1"/>
    <w:link w:val="45"/>
    <w:qFormat/>
    <w:uiPriority w:val="0"/>
    <w:pPr>
      <w:jc w:val="left"/>
    </w:pPr>
    <w:rPr>
      <w:rFonts w:ascii="仿宋_GB2312" w:hAnsi="宋体" w:eastAsia="仿宋_GB2312" w:cs="Times New Roman"/>
      <w:szCs w:val="20"/>
    </w:rPr>
  </w:style>
  <w:style w:type="paragraph" w:styleId="17">
    <w:name w:val="Title"/>
    <w:basedOn w:val="1"/>
    <w:next w:val="1"/>
    <w:link w:val="31"/>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8">
    <w:name w:val="annotation subject"/>
    <w:basedOn w:val="11"/>
    <w:next w:val="11"/>
    <w:link w:val="43"/>
    <w:semiHidden/>
    <w:unhideWhenUsed/>
    <w:qFormat/>
    <w:uiPriority w:val="99"/>
    <w:rPr>
      <w:b/>
      <w:bCs/>
    </w:rPr>
  </w:style>
  <w:style w:type="character" w:styleId="21">
    <w:name w:val="annotation reference"/>
    <w:basedOn w:val="20"/>
    <w:semiHidden/>
    <w:unhideWhenUsed/>
    <w:qFormat/>
    <w:uiPriority w:val="99"/>
    <w:rPr>
      <w:sz w:val="21"/>
      <w:szCs w:val="21"/>
    </w:rPr>
  </w:style>
  <w:style w:type="character" w:customStyle="1" w:styleId="22">
    <w:name w:val="标题 1 字符"/>
    <w:basedOn w:val="20"/>
    <w:link w:val="2"/>
    <w:qFormat/>
    <w:uiPriority w:val="9"/>
    <w:rPr>
      <w:rFonts w:asciiTheme="majorHAnsi" w:hAnsiTheme="majorHAnsi" w:eastAsiaTheme="majorEastAsia" w:cstheme="majorBidi"/>
      <w:color w:val="104862" w:themeColor="accent1" w:themeShade="BF"/>
      <w:sz w:val="48"/>
      <w:szCs w:val="48"/>
    </w:rPr>
  </w:style>
  <w:style w:type="character" w:customStyle="1" w:styleId="23">
    <w:name w:val="标题 2 字符"/>
    <w:basedOn w:val="20"/>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4">
    <w:name w:val="标题 3 字符"/>
    <w:basedOn w:val="20"/>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5">
    <w:name w:val="标题 4 字符"/>
    <w:basedOn w:val="20"/>
    <w:link w:val="5"/>
    <w:semiHidden/>
    <w:qFormat/>
    <w:uiPriority w:val="9"/>
    <w:rPr>
      <w:rFonts w:cstheme="majorBidi"/>
      <w:color w:val="104862" w:themeColor="accent1" w:themeShade="BF"/>
      <w:sz w:val="28"/>
      <w:szCs w:val="28"/>
    </w:rPr>
  </w:style>
  <w:style w:type="character" w:customStyle="1" w:styleId="26">
    <w:name w:val="标题 5 字符"/>
    <w:basedOn w:val="20"/>
    <w:link w:val="6"/>
    <w:semiHidden/>
    <w:qFormat/>
    <w:uiPriority w:val="9"/>
    <w:rPr>
      <w:rFonts w:cstheme="majorBidi"/>
      <w:color w:val="104862" w:themeColor="accent1" w:themeShade="BF"/>
      <w:sz w:val="24"/>
      <w:szCs w:val="24"/>
    </w:rPr>
  </w:style>
  <w:style w:type="character" w:customStyle="1" w:styleId="27">
    <w:name w:val="标题 6 字符"/>
    <w:basedOn w:val="20"/>
    <w:link w:val="7"/>
    <w:semiHidden/>
    <w:qFormat/>
    <w:uiPriority w:val="9"/>
    <w:rPr>
      <w:rFonts w:cstheme="majorBidi"/>
      <w:b/>
      <w:bCs/>
      <w:color w:val="104862" w:themeColor="accent1" w:themeShade="BF"/>
    </w:rPr>
  </w:style>
  <w:style w:type="character" w:customStyle="1" w:styleId="28">
    <w:name w:val="标题 7 字符"/>
    <w:basedOn w:val="20"/>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9">
    <w:name w:val="标题 8 字符"/>
    <w:basedOn w:val="20"/>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0">
    <w:name w:val="标题 9 字符"/>
    <w:basedOn w:val="20"/>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1">
    <w:name w:val="标题 字符"/>
    <w:basedOn w:val="20"/>
    <w:link w:val="17"/>
    <w:qFormat/>
    <w:uiPriority w:val="10"/>
    <w:rPr>
      <w:rFonts w:asciiTheme="majorHAnsi" w:hAnsiTheme="majorHAnsi" w:eastAsiaTheme="majorEastAsia" w:cstheme="majorBidi"/>
      <w:spacing w:val="-10"/>
      <w:kern w:val="28"/>
      <w:sz w:val="56"/>
      <w:szCs w:val="56"/>
    </w:rPr>
  </w:style>
  <w:style w:type="character" w:customStyle="1" w:styleId="32">
    <w:name w:val="副标题 字符"/>
    <w:basedOn w:val="20"/>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3">
    <w:name w:val="Quote"/>
    <w:basedOn w:val="1"/>
    <w:next w:val="1"/>
    <w:link w:val="34"/>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4">
    <w:name w:val="引用 字符"/>
    <w:basedOn w:val="20"/>
    <w:link w:val="33"/>
    <w:qFormat/>
    <w:uiPriority w:val="29"/>
    <w:rPr>
      <w:i/>
      <w:iCs/>
      <w:color w:val="404040" w:themeColor="text1" w:themeTint="BF"/>
      <w14:textFill>
        <w14:solidFill>
          <w14:schemeClr w14:val="tx1">
            <w14:lumMod w14:val="75000"/>
            <w14:lumOff w14:val="25000"/>
          </w14:schemeClr>
        </w14:solidFill>
      </w14:textFill>
    </w:rPr>
  </w:style>
  <w:style w:type="paragraph" w:styleId="35">
    <w:name w:val="List Paragraph"/>
    <w:basedOn w:val="1"/>
    <w:qFormat/>
    <w:uiPriority w:val="1"/>
    <w:pPr>
      <w:ind w:left="720"/>
      <w:contextualSpacing/>
    </w:pPr>
  </w:style>
  <w:style w:type="character" w:customStyle="1" w:styleId="36">
    <w:name w:val="明显强调1"/>
    <w:basedOn w:val="20"/>
    <w:qFormat/>
    <w:uiPriority w:val="21"/>
    <w:rPr>
      <w:i/>
      <w:iCs/>
      <w:color w:val="104862" w:themeColor="accent1" w:themeShade="BF"/>
    </w:rPr>
  </w:style>
  <w:style w:type="paragraph" w:styleId="37">
    <w:name w:val="Intense Quote"/>
    <w:basedOn w:val="1"/>
    <w:next w:val="1"/>
    <w:link w:val="38"/>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8">
    <w:name w:val="明显引用 字符"/>
    <w:basedOn w:val="20"/>
    <w:link w:val="37"/>
    <w:qFormat/>
    <w:uiPriority w:val="30"/>
    <w:rPr>
      <w:i/>
      <w:iCs/>
      <w:color w:val="104862" w:themeColor="accent1" w:themeShade="BF"/>
    </w:rPr>
  </w:style>
  <w:style w:type="character" w:customStyle="1" w:styleId="39">
    <w:name w:val="明显参考1"/>
    <w:basedOn w:val="20"/>
    <w:qFormat/>
    <w:uiPriority w:val="32"/>
    <w:rPr>
      <w:b/>
      <w:bCs/>
      <w:smallCaps/>
      <w:color w:val="104862" w:themeColor="accent1" w:themeShade="BF"/>
      <w:spacing w:val="5"/>
    </w:rPr>
  </w:style>
  <w:style w:type="table" w:customStyle="1" w:styleId="40">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1">
    <w:name w:val="Table Paragraph"/>
    <w:basedOn w:val="1"/>
    <w:qFormat/>
    <w:uiPriority w:val="1"/>
    <w:pPr>
      <w:autoSpaceDE w:val="0"/>
      <w:autoSpaceDN w:val="0"/>
      <w:jc w:val="left"/>
    </w:pPr>
    <w:rPr>
      <w:rFonts w:ascii="宋体" w:hAnsi="宋体" w:eastAsia="宋体" w:cs="宋体"/>
      <w:kern w:val="0"/>
      <w:sz w:val="22"/>
    </w:rPr>
  </w:style>
  <w:style w:type="character" w:customStyle="1" w:styleId="42">
    <w:name w:val="批注文字 字符"/>
    <w:basedOn w:val="20"/>
    <w:link w:val="11"/>
    <w:semiHidden/>
    <w:qFormat/>
    <w:uiPriority w:val="99"/>
  </w:style>
  <w:style w:type="character" w:customStyle="1" w:styleId="43">
    <w:name w:val="批注主题 字符"/>
    <w:basedOn w:val="42"/>
    <w:link w:val="18"/>
    <w:semiHidden/>
    <w:qFormat/>
    <w:uiPriority w:val="99"/>
    <w:rPr>
      <w:b/>
      <w:bCs/>
    </w:rPr>
  </w:style>
  <w:style w:type="character" w:customStyle="1" w:styleId="44">
    <w:name w:val="正文文本 字符"/>
    <w:basedOn w:val="20"/>
    <w:link w:val="12"/>
    <w:qFormat/>
    <w:uiPriority w:val="1"/>
    <w:rPr>
      <w:rFonts w:ascii="宋体" w:hAnsi="宋体" w:eastAsia="宋体" w:cs="宋体"/>
      <w:kern w:val="0"/>
      <w:sz w:val="24"/>
      <w:szCs w:val="24"/>
    </w:rPr>
  </w:style>
  <w:style w:type="character" w:customStyle="1" w:styleId="45">
    <w:name w:val="正文文本 2 字符"/>
    <w:basedOn w:val="20"/>
    <w:link w:val="16"/>
    <w:qFormat/>
    <w:uiPriority w:val="0"/>
    <w:rPr>
      <w:rFonts w:ascii="仿宋_GB2312" w:hAnsi="宋体" w:eastAsia="仿宋_GB2312" w:cs="Times New Roman"/>
      <w:kern w:val="2"/>
      <w:sz w:val="21"/>
    </w:rPr>
  </w:style>
  <w:style w:type="character" w:customStyle="1" w:styleId="46">
    <w:name w:val="批注框文本 字符"/>
    <w:basedOn w:val="20"/>
    <w:link w:val="1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4005</Words>
  <Characters>5366</Characters>
  <Lines>43</Lines>
  <Paragraphs>12</Paragraphs>
  <TotalTime>15</TotalTime>
  <ScaleCrop>false</ScaleCrop>
  <LinksUpToDate>false</LinksUpToDate>
  <CharactersWithSpaces>5419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2025-08-11T07:38:00Z</dcterms:created>
  <dc:creator>acer</dc:creator>
  <cp:lastModifiedBy>8号</cp:lastModifiedBy>
  <dcterms:modified xsi:type="dcterms:W3CDTF">2025-08-28T09:17:42Z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eyJoZGlkIjoiMjI3YWJiZWVmN2ViNmRlMTJmNTgwYmVkZGI5ZjA5ZDciLCJ1c2VySWQiOiI5MTcwNDg3MzMifQ==</vt:lpwstr>
  </property>
  <property fmtid="{D5CDD505-2E9C-101B-9397-08002B2CF9AE}" pid="3" name="KSOProductBuildVer">
    <vt:lpwstr>2052-12.1.0.22529</vt:lpwstr>
  </property>
  <property fmtid="{D5CDD505-2E9C-101B-9397-08002B2CF9AE}" pid="4" name="ICV">
    <vt:lpwstr>787DBB1B6FD840CCA261B5F9C909D6CA_13</vt:lpwstr>
  </property>
</Properties>
</file>